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F3" w:rsidRDefault="00CA46F3" w:rsidP="00CA46F3">
      <w:pPr>
        <w:pStyle w:val="Heading5"/>
        <w:rPr>
          <w:rFonts w:eastAsia="Arial Unicode MS"/>
        </w:rPr>
      </w:pPr>
      <w:bookmarkStart w:id="0" w:name="_GoBack"/>
      <w:bookmarkEnd w:id="0"/>
      <w:r>
        <w:t>BEFORE THE OFFICE OF STATE ADMINISTRATIVE HEARINGS</w:t>
      </w:r>
    </w:p>
    <w:p w:rsidR="00CA46F3" w:rsidRDefault="00CA46F3" w:rsidP="00CA46F3">
      <w:pPr>
        <w:pStyle w:val="Heading5"/>
      </w:pPr>
      <w:r>
        <w:t>STATE OF GEORGIA</w:t>
      </w:r>
    </w:p>
    <w:p w:rsidR="00CA46F3" w:rsidRDefault="00CA46F3" w:rsidP="00CA46F3">
      <w:pPr>
        <w:rPr>
          <w:rFonts w:eastAsia="Arial Unicode MS"/>
        </w:rPr>
      </w:pPr>
    </w:p>
    <w:tbl>
      <w:tblPr>
        <w:tblW w:w="93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35"/>
        <w:gridCol w:w="325"/>
        <w:gridCol w:w="35"/>
        <w:gridCol w:w="4474"/>
      </w:tblGrid>
      <w:tr w:rsidR="00CA46F3" w:rsidTr="00C5700C">
        <w:trPr>
          <w:trHeight w:val="2115"/>
        </w:trPr>
        <w:tc>
          <w:tcPr>
            <w:tcW w:w="4502" w:type="dxa"/>
          </w:tcPr>
          <w:p w:rsidR="00CA46F3" w:rsidRDefault="00CA46F3">
            <w:pPr>
              <w:jc w:val="both"/>
              <w:rPr>
                <w:szCs w:val="19"/>
              </w:rPr>
            </w:pPr>
          </w:p>
          <w:p w:rsidR="00CA46F3" w:rsidRDefault="00CA46F3">
            <w:pPr>
              <w:jc w:val="both"/>
              <w:rPr>
                <w:szCs w:val="19"/>
              </w:rPr>
            </w:pPr>
            <w:r>
              <w:rPr>
                <w:szCs w:val="19"/>
              </w:rPr>
              <w:t>BURKHALTER SPECIALIZED</w:t>
            </w:r>
          </w:p>
          <w:p w:rsidR="00CA46F3" w:rsidRDefault="00CA46F3">
            <w:pPr>
              <w:jc w:val="both"/>
              <w:rPr>
                <w:szCs w:val="19"/>
              </w:rPr>
            </w:pPr>
            <w:r>
              <w:rPr>
                <w:szCs w:val="19"/>
              </w:rPr>
              <w:t>TRANSPORT, LLC, Company</w:t>
            </w:r>
          </w:p>
          <w:p w:rsidR="00CA46F3" w:rsidRDefault="00CA46F3">
            <w:pPr>
              <w:jc w:val="both"/>
              <w:rPr>
                <w:szCs w:val="19"/>
              </w:rPr>
            </w:pPr>
            <w:r>
              <w:rPr>
                <w:szCs w:val="19"/>
              </w:rPr>
              <w:t>JAMES VANCE, Driver</w:t>
            </w:r>
          </w:p>
          <w:p w:rsidR="00CA46F3" w:rsidRDefault="00CA46F3">
            <w:pPr>
              <w:ind w:firstLine="1440"/>
              <w:jc w:val="both"/>
              <w:rPr>
                <w:szCs w:val="19"/>
              </w:rPr>
            </w:pPr>
            <w:r>
              <w:rPr>
                <w:szCs w:val="19"/>
              </w:rPr>
              <w:t>Petitioners,</w:t>
            </w:r>
          </w:p>
          <w:p w:rsidR="00CA46F3" w:rsidRDefault="00CA46F3">
            <w:pPr>
              <w:jc w:val="both"/>
              <w:rPr>
                <w:szCs w:val="19"/>
              </w:rPr>
            </w:pPr>
            <w:r>
              <w:rPr>
                <w:szCs w:val="19"/>
              </w:rPr>
              <w:t>v.</w:t>
            </w:r>
          </w:p>
          <w:p w:rsidR="00CA46F3" w:rsidRDefault="00CA46F3">
            <w:pPr>
              <w:jc w:val="both"/>
              <w:rPr>
                <w:szCs w:val="19"/>
              </w:rPr>
            </w:pPr>
          </w:p>
          <w:p w:rsidR="00CA46F3" w:rsidRDefault="00CA46F3">
            <w:pPr>
              <w:pStyle w:val="BodyText3"/>
            </w:pPr>
            <w:r w:rsidRPr="00C5700C">
              <w:rPr>
                <w:sz w:val="24"/>
                <w:szCs w:val="24"/>
              </w:rPr>
              <w:t>DEPARTMENT OF PUBLIC SAFETY</w:t>
            </w:r>
            <w:r>
              <w:t>,</w:t>
            </w:r>
          </w:p>
          <w:p w:rsidR="00CA46F3" w:rsidRDefault="00CA46F3">
            <w:pPr>
              <w:ind w:firstLine="1440"/>
              <w:jc w:val="both"/>
              <w:rPr>
                <w:szCs w:val="19"/>
              </w:rPr>
            </w:pPr>
            <w:r>
              <w:rPr>
                <w:szCs w:val="19"/>
              </w:rPr>
              <w:t>Respondent.</w:t>
            </w:r>
          </w:p>
        </w:tc>
        <w:tc>
          <w:tcPr>
            <w:tcW w:w="35" w:type="dxa"/>
          </w:tcPr>
          <w:p w:rsidR="00CA46F3" w:rsidRDefault="00CA46F3">
            <w:pPr>
              <w:rPr>
                <w:szCs w:val="19"/>
              </w:rPr>
            </w:pPr>
          </w:p>
        </w:tc>
        <w:tc>
          <w:tcPr>
            <w:tcW w:w="325" w:type="dxa"/>
          </w:tcPr>
          <w:p w:rsidR="00CA46F3" w:rsidRDefault="00CA46F3">
            <w:pPr>
              <w:jc w:val="both"/>
              <w:rPr>
                <w:szCs w:val="19"/>
              </w:rPr>
            </w:pPr>
          </w:p>
          <w:p w:rsidR="00CA46F3" w:rsidRDefault="00CA46F3">
            <w:pPr>
              <w:jc w:val="both"/>
              <w:rPr>
                <w:szCs w:val="19"/>
              </w:rPr>
            </w:pPr>
            <w:r>
              <w:rPr>
                <w:szCs w:val="19"/>
              </w:rPr>
              <w:t>:</w:t>
            </w:r>
          </w:p>
          <w:p w:rsidR="00CA46F3" w:rsidRDefault="00CA46F3">
            <w:pPr>
              <w:ind w:left="-215" w:firstLine="215"/>
              <w:jc w:val="both"/>
              <w:rPr>
                <w:szCs w:val="19"/>
              </w:rPr>
            </w:pPr>
            <w:r>
              <w:rPr>
                <w:szCs w:val="19"/>
              </w:rPr>
              <w:t>:</w:t>
            </w:r>
          </w:p>
          <w:p w:rsidR="00CA46F3" w:rsidRDefault="00CA46F3">
            <w:pPr>
              <w:jc w:val="both"/>
              <w:rPr>
                <w:szCs w:val="19"/>
              </w:rPr>
            </w:pPr>
            <w:r>
              <w:rPr>
                <w:szCs w:val="19"/>
              </w:rPr>
              <w:t>:</w:t>
            </w:r>
          </w:p>
          <w:p w:rsidR="00CA46F3" w:rsidRDefault="00CA46F3">
            <w:pPr>
              <w:jc w:val="both"/>
              <w:rPr>
                <w:szCs w:val="19"/>
              </w:rPr>
            </w:pPr>
            <w:r>
              <w:rPr>
                <w:szCs w:val="19"/>
              </w:rPr>
              <w:t>:</w:t>
            </w:r>
          </w:p>
          <w:p w:rsidR="00CA46F3" w:rsidRDefault="00CA46F3">
            <w:pPr>
              <w:jc w:val="both"/>
              <w:rPr>
                <w:szCs w:val="19"/>
              </w:rPr>
            </w:pPr>
            <w:r>
              <w:rPr>
                <w:szCs w:val="19"/>
              </w:rPr>
              <w:t>:</w:t>
            </w:r>
          </w:p>
          <w:p w:rsidR="00CA46F3" w:rsidRDefault="00CA46F3">
            <w:pPr>
              <w:jc w:val="both"/>
              <w:rPr>
                <w:szCs w:val="19"/>
              </w:rPr>
            </w:pPr>
            <w:r>
              <w:rPr>
                <w:szCs w:val="19"/>
              </w:rPr>
              <w:t>:</w:t>
            </w:r>
          </w:p>
          <w:p w:rsidR="00C35971" w:rsidRDefault="00CA46F3">
            <w:pPr>
              <w:jc w:val="both"/>
              <w:rPr>
                <w:szCs w:val="19"/>
              </w:rPr>
            </w:pPr>
            <w:r>
              <w:rPr>
                <w:szCs w:val="19"/>
              </w:rPr>
              <w:t>:</w:t>
            </w:r>
          </w:p>
          <w:p w:rsidR="00CA46F3" w:rsidRDefault="00C35971">
            <w:pPr>
              <w:jc w:val="both"/>
              <w:rPr>
                <w:szCs w:val="19"/>
              </w:rPr>
            </w:pPr>
            <w:r>
              <w:rPr>
                <w:szCs w:val="19"/>
              </w:rPr>
              <w:t>:</w:t>
            </w:r>
            <w:r w:rsidR="00CA46F3">
              <w:rPr>
                <w:szCs w:val="19"/>
              </w:rPr>
              <w:t xml:space="preserve"> </w:t>
            </w:r>
          </w:p>
        </w:tc>
        <w:tc>
          <w:tcPr>
            <w:tcW w:w="35" w:type="dxa"/>
          </w:tcPr>
          <w:p w:rsidR="00CA46F3" w:rsidRDefault="00CA46F3">
            <w:pPr>
              <w:rPr>
                <w:szCs w:val="19"/>
              </w:rPr>
            </w:pPr>
          </w:p>
        </w:tc>
        <w:tc>
          <w:tcPr>
            <w:tcW w:w="4474" w:type="dxa"/>
          </w:tcPr>
          <w:p w:rsidR="00CA46F3" w:rsidRDefault="00CA46F3">
            <w:pPr>
              <w:jc w:val="both"/>
              <w:rPr>
                <w:szCs w:val="19"/>
              </w:rPr>
            </w:pPr>
          </w:p>
          <w:p w:rsidR="00CA46F3" w:rsidRDefault="00CA46F3">
            <w:pPr>
              <w:jc w:val="both"/>
              <w:rPr>
                <w:szCs w:val="19"/>
              </w:rPr>
            </w:pPr>
            <w:r>
              <w:rPr>
                <w:szCs w:val="19"/>
              </w:rPr>
              <w:t xml:space="preserve">DOCKET NUMBER: </w:t>
            </w:r>
          </w:p>
          <w:p w:rsidR="00CA46F3" w:rsidRDefault="00CA46F3">
            <w:pPr>
              <w:pStyle w:val="Heading8"/>
              <w:rPr>
                <w:sz w:val="22"/>
                <w:u w:val="single"/>
              </w:rPr>
            </w:pPr>
            <w:r>
              <w:rPr>
                <w:sz w:val="22"/>
              </w:rPr>
              <w:t>OSAH-DPS-OWOS-1405544-15-Teate</w:t>
            </w:r>
          </w:p>
          <w:p w:rsidR="00CA46F3" w:rsidRDefault="00CA46F3">
            <w:pPr>
              <w:jc w:val="both"/>
              <w:rPr>
                <w:szCs w:val="19"/>
              </w:rPr>
            </w:pPr>
          </w:p>
          <w:p w:rsidR="00CA46F3" w:rsidRDefault="00CA46F3">
            <w:pPr>
              <w:jc w:val="both"/>
              <w:rPr>
                <w:szCs w:val="19"/>
              </w:rPr>
            </w:pPr>
          </w:p>
          <w:p w:rsidR="00CA46F3" w:rsidRDefault="00CA46F3" w:rsidP="00CA46F3">
            <w:pPr>
              <w:jc w:val="both"/>
              <w:rPr>
                <w:szCs w:val="19"/>
              </w:rPr>
            </w:pPr>
            <w:r>
              <w:rPr>
                <w:szCs w:val="19"/>
              </w:rPr>
              <w:t>Citation No.: 901-13-000479</w:t>
            </w:r>
          </w:p>
        </w:tc>
      </w:tr>
    </w:tbl>
    <w:p w:rsidR="00F4352B" w:rsidRPr="00F4352B" w:rsidRDefault="00F4352B" w:rsidP="00CA46F3">
      <w:pPr>
        <w:tabs>
          <w:tab w:val="left" w:pos="-720"/>
        </w:tabs>
        <w:suppressAutoHyphens/>
        <w:rPr>
          <w:b/>
          <w:highlight w:val="yellow"/>
        </w:rPr>
      </w:pPr>
    </w:p>
    <w:p w:rsidR="00D67C51" w:rsidRDefault="00D67C51" w:rsidP="00F4352B">
      <w:pPr>
        <w:tabs>
          <w:tab w:val="left" w:pos="-720"/>
        </w:tabs>
        <w:suppressAutoHyphens/>
        <w:jc w:val="center"/>
        <w:rPr>
          <w:b/>
        </w:rPr>
      </w:pPr>
    </w:p>
    <w:p w:rsidR="00F4352B" w:rsidRPr="001A6187" w:rsidRDefault="00F4352B" w:rsidP="00F4352B">
      <w:pPr>
        <w:tabs>
          <w:tab w:val="left" w:pos="-720"/>
        </w:tabs>
        <w:suppressAutoHyphens/>
        <w:jc w:val="center"/>
        <w:rPr>
          <w:b/>
        </w:rPr>
      </w:pPr>
      <w:r w:rsidRPr="00F1367B">
        <w:rPr>
          <w:b/>
        </w:rPr>
        <w:t>FINAL DECISION</w:t>
      </w:r>
    </w:p>
    <w:p w:rsidR="00F4352B" w:rsidRDefault="00F4352B" w:rsidP="00F4352B">
      <w:pPr>
        <w:tabs>
          <w:tab w:val="left" w:pos="-720"/>
        </w:tabs>
        <w:suppressAutoHyphens/>
        <w:jc w:val="center"/>
        <w:rPr>
          <w:b/>
        </w:rPr>
      </w:pPr>
    </w:p>
    <w:p w:rsidR="00F4352B" w:rsidRPr="001A6187" w:rsidRDefault="00F4352B" w:rsidP="00F4352B">
      <w:pPr>
        <w:tabs>
          <w:tab w:val="left" w:pos="-720"/>
        </w:tabs>
        <w:suppressAutoHyphens/>
        <w:jc w:val="center"/>
        <w:rPr>
          <w:b/>
        </w:rPr>
      </w:pPr>
      <w:r w:rsidRPr="001A6187">
        <w:rPr>
          <w:b/>
        </w:rPr>
        <w:t>I.  Introduction</w:t>
      </w:r>
    </w:p>
    <w:p w:rsidR="00CA46F3" w:rsidRDefault="00CA46F3"/>
    <w:p w:rsidR="008D27EA" w:rsidRDefault="00CA46F3" w:rsidP="00B73362">
      <w:pPr>
        <w:jc w:val="both"/>
      </w:pPr>
      <w:r>
        <w:t>Burkhalter Specialized Transport, LLC</w:t>
      </w:r>
      <w:r w:rsidR="00447208">
        <w:t xml:space="preserve"> (“Burkhalter”)</w:t>
      </w:r>
      <w:r w:rsidR="00C92309">
        <w:t xml:space="preserve"> appeal</w:t>
      </w:r>
      <w:r w:rsidR="00274FA6">
        <w:t>ed</w:t>
      </w:r>
      <w:r w:rsidR="00C92309">
        <w:t xml:space="preserve"> an assessment</w:t>
      </w:r>
      <w:r w:rsidR="00274FA6">
        <w:t xml:space="preserve"> issued on May 10, 2013</w:t>
      </w:r>
      <w:r w:rsidR="00C92309">
        <w:t xml:space="preserve"> by</w:t>
      </w:r>
      <w:r w:rsidR="00274FA6">
        <w:t xml:space="preserve"> </w:t>
      </w:r>
      <w:r>
        <w:t>the Department of Public Safety</w:t>
      </w:r>
      <w:r w:rsidR="00DD0E50">
        <w:t xml:space="preserve"> (</w:t>
      </w:r>
      <w:r w:rsidR="001A31C3">
        <w:t>“</w:t>
      </w:r>
      <w:r w:rsidR="00DD0E50">
        <w:t>DPS</w:t>
      </w:r>
      <w:r w:rsidR="001A31C3">
        <w:t>”</w:t>
      </w:r>
      <w:r w:rsidR="00DD0E50">
        <w:t>)</w:t>
      </w:r>
      <w:r w:rsidR="00274FA6">
        <w:t xml:space="preserve">.  At a hearing </w:t>
      </w:r>
      <w:r w:rsidR="00C92309">
        <w:t xml:space="preserve">on </w:t>
      </w:r>
      <w:r w:rsidR="00274FA6">
        <w:t>September 18, 2013,</w:t>
      </w:r>
      <w:r>
        <w:t xml:space="preserve"> Christine Calloway</w:t>
      </w:r>
      <w:r w:rsidR="00274FA6">
        <w:t>, Esq. represented DPS and</w:t>
      </w:r>
      <w:r>
        <w:t xml:space="preserve"> Carlos Fernandez appeared </w:t>
      </w:r>
      <w:r w:rsidR="00904640">
        <w:t xml:space="preserve">as </w:t>
      </w:r>
      <w:r w:rsidR="00447208">
        <w:t>Burkhalter</w:t>
      </w:r>
      <w:r w:rsidR="00904640">
        <w:t>’s representative</w:t>
      </w:r>
      <w:r>
        <w:t xml:space="preserve">. </w:t>
      </w:r>
      <w:r w:rsidR="00904640">
        <w:t xml:space="preserve"> </w:t>
      </w:r>
      <w:r w:rsidR="00D67C51">
        <w:t xml:space="preserve">James Vance, the Driver, did not appear.  </w:t>
      </w:r>
      <w:r>
        <w:t xml:space="preserve">For the reasons given below, the assessment is </w:t>
      </w:r>
      <w:r>
        <w:rPr>
          <w:b/>
        </w:rPr>
        <w:t>AFFIRMED</w:t>
      </w:r>
      <w:r w:rsidRPr="00CA46F3">
        <w:t>.</w:t>
      </w:r>
    </w:p>
    <w:p w:rsidR="00904640" w:rsidRDefault="00904640" w:rsidP="00B73362">
      <w:pPr>
        <w:jc w:val="both"/>
      </w:pPr>
    </w:p>
    <w:p w:rsidR="00904640" w:rsidRDefault="00904640" w:rsidP="00B73362">
      <w:pPr>
        <w:jc w:val="both"/>
      </w:pPr>
      <w:r>
        <w:t xml:space="preserve">A copy of Petitioner’s Georgia Single Trip Permit #M0482751 is admitted into the record as ALJ Exhibit 1 subject to objection within the 10-day reconsideration period.  </w:t>
      </w:r>
    </w:p>
    <w:p w:rsidR="00F1367B" w:rsidRDefault="00F1367B"/>
    <w:p w:rsidR="00F1367B" w:rsidRDefault="00F1367B" w:rsidP="00F1367B">
      <w:pPr>
        <w:jc w:val="center"/>
        <w:rPr>
          <w:b/>
        </w:rPr>
      </w:pPr>
      <w:r w:rsidRPr="00F1367B">
        <w:rPr>
          <w:b/>
        </w:rPr>
        <w:t>II.  Findings of Fact</w:t>
      </w:r>
    </w:p>
    <w:p w:rsidR="00F1367B" w:rsidRDefault="00F1367B" w:rsidP="00F1367B">
      <w:pPr>
        <w:jc w:val="center"/>
        <w:rPr>
          <w:b/>
        </w:rPr>
      </w:pPr>
    </w:p>
    <w:p w:rsidR="00C35971" w:rsidRDefault="00447208" w:rsidP="00904640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</w:pPr>
      <w:r>
        <w:t>Burkhalter</w:t>
      </w:r>
      <w:r w:rsidR="00715874">
        <w:t xml:space="preserve"> </w:t>
      </w:r>
      <w:r w:rsidR="00C92309">
        <w:t xml:space="preserve">is a transport company with its corporate office in Columbus, Mississippi. </w:t>
      </w:r>
      <w:r w:rsidR="00D67C51">
        <w:t>DPS</w:t>
      </w:r>
      <w:r w:rsidR="00C92309">
        <w:t xml:space="preserve"> issued to it a Single Trip Permit</w:t>
      </w:r>
      <w:r w:rsidR="002C3240">
        <w:t>, #M0482751</w:t>
      </w:r>
      <w:r w:rsidR="00D67C51">
        <w:t>.  The permit</w:t>
      </w:r>
      <w:r w:rsidR="004252E9">
        <w:t xml:space="preserve"> authorized </w:t>
      </w:r>
      <w:r w:rsidR="00D67C51">
        <w:t>Burkhalter</w:t>
      </w:r>
      <w:r w:rsidR="00C92309">
        <w:t xml:space="preserve"> to operate a vehicle with a gross weight of 89,00</w:t>
      </w:r>
      <w:r w:rsidR="004252E9">
        <w:t>0 pounds</w:t>
      </w:r>
      <w:r w:rsidR="00C92309">
        <w:t xml:space="preserve"> </w:t>
      </w:r>
      <w:r w:rsidR="004252E9">
        <w:t>from May 4 to May 15, 2013</w:t>
      </w:r>
      <w:r w:rsidR="002C3240">
        <w:t xml:space="preserve"> to transport an empty trailor</w:t>
      </w:r>
      <w:r w:rsidR="004252E9">
        <w:t>.</w:t>
      </w:r>
      <w:r w:rsidR="00904640">
        <w:t xml:space="preserve">  The permit was valid from May 4, 2013 to May 15, 2013 and authorized gross weight of 89,000 pounds on seven axles with route of travel on I</w:t>
      </w:r>
      <w:r w:rsidR="00DD0E50">
        <w:t xml:space="preserve">nterstates </w:t>
      </w:r>
      <w:r w:rsidR="00904640">
        <w:t>20, 285 and 85 from the Alabama line to the South Carolina line.  The copy of the permit presented is neither signed nor dated.</w:t>
      </w:r>
      <w:r w:rsidR="00C5700C">
        <w:t xml:space="preserve">  The permit indicates that the permit must be signed and dated in blue ink or it is not valid.</w:t>
      </w:r>
      <w:r w:rsidR="002C3240">
        <w:t xml:space="preserve">  The permit did not authorize travel on Interstate 95.  </w:t>
      </w:r>
      <w:r w:rsidR="00904640">
        <w:t>(Testimony of Carlos Fernandez; ALJ Exhibit 1).</w:t>
      </w:r>
    </w:p>
    <w:p w:rsidR="00C35971" w:rsidRDefault="00C35971" w:rsidP="00C35971">
      <w:pPr>
        <w:tabs>
          <w:tab w:val="left" w:pos="360"/>
        </w:tabs>
        <w:jc w:val="both"/>
      </w:pPr>
    </w:p>
    <w:p w:rsidR="00C35971" w:rsidRPr="00C35971" w:rsidRDefault="00904640" w:rsidP="00B73362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i/>
        </w:rPr>
      </w:pPr>
      <w:r>
        <w:t xml:space="preserve">On May 10, 2013, James Vance, the driver </w:t>
      </w:r>
      <w:r w:rsidR="00DD0E50">
        <w:t>drove the</w:t>
      </w:r>
      <w:r w:rsidR="00447208">
        <w:t xml:space="preserve"> vehicle </w:t>
      </w:r>
      <w:r w:rsidR="008F6F20">
        <w:t>nor</w:t>
      </w:r>
      <w:r w:rsidR="00447208">
        <w:t>thbound on I</w:t>
      </w:r>
      <w:r w:rsidR="001F67BD">
        <w:t xml:space="preserve">nterstate 95 in McIntosh County </w:t>
      </w:r>
      <w:r w:rsidR="00447208">
        <w:t>when he stopped to have his vehi</w:t>
      </w:r>
      <w:r w:rsidR="001F67BD">
        <w:t>cle weighed at a weigh station.</w:t>
      </w:r>
      <w:r w:rsidR="001F1EFC">
        <w:t xml:space="preserve"> </w:t>
      </w:r>
      <w:r w:rsidR="00DD0E50">
        <w:t xml:space="preserve">(Respondent Exhibit 1; </w:t>
      </w:r>
      <w:r w:rsidR="00DD0E50" w:rsidRPr="00DD0E50">
        <w:t>Testimony of Crystal King</w:t>
      </w:r>
      <w:r w:rsidR="00DD0E50">
        <w:t>)</w:t>
      </w:r>
      <w:r w:rsidR="001F1EFC" w:rsidRPr="00DD0E50">
        <w:t>.</w:t>
      </w:r>
    </w:p>
    <w:p w:rsidR="00C35971" w:rsidRDefault="00C35971" w:rsidP="00C35971">
      <w:pPr>
        <w:pStyle w:val="ListParagraph"/>
      </w:pPr>
    </w:p>
    <w:p w:rsidR="00F1367B" w:rsidRPr="00C35971" w:rsidRDefault="00DD0E50" w:rsidP="00B73362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i/>
        </w:rPr>
      </w:pPr>
      <w:r>
        <w:t xml:space="preserve">Although the gross weight of the vehicle weighed within routine interstate allowable limits at 79,380 pounds on </w:t>
      </w:r>
      <w:r w:rsidR="001F67BD">
        <w:t xml:space="preserve">a motion scale, Crystal King, a </w:t>
      </w:r>
      <w:r w:rsidR="00C5700C">
        <w:t xml:space="preserve">DPS </w:t>
      </w:r>
      <w:r w:rsidR="001F67BD">
        <w:t>Weight Inspector</w:t>
      </w:r>
      <w:r w:rsidR="00C5700C">
        <w:t>, elected to also weigh</w:t>
      </w:r>
      <w:r w:rsidR="00C5700C" w:rsidRPr="00C5700C">
        <w:t xml:space="preserve"> </w:t>
      </w:r>
      <w:r w:rsidR="00C5700C">
        <w:t xml:space="preserve">the vehicle on a static scale </w:t>
      </w:r>
      <w:r w:rsidR="001F67BD">
        <w:t>which registers the weight of each individual axle</w:t>
      </w:r>
      <w:r w:rsidR="00C5700C">
        <w:t xml:space="preserve">.  The static scales </w:t>
      </w:r>
      <w:r w:rsidR="00C5700C">
        <w:lastRenderedPageBreak/>
        <w:t>were</w:t>
      </w:r>
      <w:r w:rsidR="001F67BD">
        <w:t xml:space="preserve"> calibrated and in good working order at the time</w:t>
      </w:r>
      <w:r w:rsidR="00C5700C">
        <w:t xml:space="preserve">.  </w:t>
      </w:r>
      <w:r w:rsidR="00F1367B">
        <w:t>A weight of 26,500 pounds was measured for the seventh axle of that vehicle</w:t>
      </w:r>
      <w:r w:rsidR="00447208">
        <w:t xml:space="preserve">, which </w:t>
      </w:r>
      <w:r w:rsidR="00C5700C">
        <w:t xml:space="preserve">exceeds </w:t>
      </w:r>
      <w:r w:rsidR="00447208">
        <w:t xml:space="preserve">the statutory </w:t>
      </w:r>
      <w:r w:rsidR="00196945">
        <w:t xml:space="preserve">weight </w:t>
      </w:r>
      <w:r w:rsidR="00447208">
        <w:t>limit</w:t>
      </w:r>
      <w:r w:rsidR="00C5700C">
        <w:t xml:space="preserve"> of 25,000 allowed</w:t>
      </w:r>
      <w:r w:rsidR="00447208">
        <w:t xml:space="preserve"> </w:t>
      </w:r>
      <w:r w:rsidR="00196945">
        <w:t>for</w:t>
      </w:r>
      <w:r w:rsidR="00C5700C">
        <w:t xml:space="preserve"> </w:t>
      </w:r>
      <w:r w:rsidR="00196945">
        <w:t>a single axle</w:t>
      </w:r>
      <w:r w:rsidR="00C5700C">
        <w:t xml:space="preserve"> by 1,540.00 pounds</w:t>
      </w:r>
      <w:r w:rsidR="00447208">
        <w:t>.</w:t>
      </w:r>
      <w:r w:rsidR="00C5700C">
        <w:t xml:space="preserve">  (Respondent Exhibits 1 and 2; Testimony of Crystal King).</w:t>
      </w:r>
    </w:p>
    <w:p w:rsidR="00F1367B" w:rsidRDefault="00F1367B" w:rsidP="00F1367B"/>
    <w:p w:rsidR="00C35971" w:rsidRDefault="00F1367B" w:rsidP="00C35971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</w:pPr>
      <w:r>
        <w:t xml:space="preserve">Ms. King afforded </w:t>
      </w:r>
      <w:r w:rsidR="001F67BD">
        <w:t>Mr. Vance</w:t>
      </w:r>
      <w:r>
        <w:t xml:space="preserve"> an opportunity to shift the vehicle load but the load could not be shifted.</w:t>
      </w:r>
      <w:r w:rsidR="001F1EFC">
        <w:t xml:space="preserve"> </w:t>
      </w:r>
      <w:r w:rsidR="00C35971">
        <w:t xml:space="preserve"> (</w:t>
      </w:r>
      <w:r w:rsidR="001F1EFC" w:rsidRPr="00C35971">
        <w:t>Testimony of Crystal King</w:t>
      </w:r>
      <w:r w:rsidR="00C35971">
        <w:t>)</w:t>
      </w:r>
      <w:r w:rsidR="001F1EFC" w:rsidRPr="00C35971">
        <w:t>.</w:t>
      </w:r>
    </w:p>
    <w:p w:rsidR="00C35971" w:rsidRDefault="00C35971" w:rsidP="00C35971">
      <w:pPr>
        <w:pStyle w:val="ListParagraph"/>
      </w:pPr>
    </w:p>
    <w:p w:rsidR="00F1367B" w:rsidRDefault="00C35971" w:rsidP="00C35971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</w:pPr>
      <w:r>
        <w:t>Inspector King</w:t>
      </w:r>
      <w:r w:rsidR="00F1367B">
        <w:t xml:space="preserve"> issued the above referenced overweight assessment citation for the seventh axle’s excess weight of 1,500 pounds</w:t>
      </w:r>
      <w:r>
        <w:t xml:space="preserve"> that per calculations or DPS charts indicated an </w:t>
      </w:r>
      <w:r w:rsidR="00F1367B">
        <w:t>assessment was</w:t>
      </w:r>
      <w:r w:rsidR="00715874">
        <w:t xml:space="preserve"> </w:t>
      </w:r>
      <w:r w:rsidR="008F6F20">
        <w:t>$96</w:t>
      </w:r>
      <w:r w:rsidR="00715874">
        <w:t>.25</w:t>
      </w:r>
      <w:r w:rsidR="00F1367B">
        <w:t>.</w:t>
      </w:r>
      <w:r w:rsidR="004252E9">
        <w:t xml:space="preserve"> On or about June 20, 2013, Petitioner requested a hearing and a reimbursement for the assessment.</w:t>
      </w:r>
    </w:p>
    <w:p w:rsidR="00C35971" w:rsidRDefault="00C35971" w:rsidP="00C35971">
      <w:pPr>
        <w:pStyle w:val="ListParagraph"/>
        <w:tabs>
          <w:tab w:val="left" w:pos="360"/>
        </w:tabs>
        <w:ind w:left="0"/>
      </w:pPr>
    </w:p>
    <w:p w:rsidR="00C35971" w:rsidRDefault="00C35971" w:rsidP="00C35971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</w:pPr>
      <w:r>
        <w:t>Mr. Fernandez acknowledged that the issuance of the assessment prompted an evaluation of Axle 7 that indicated a malfunction that was immediately corrected.  (Testimony of Carlos Fernandez).</w:t>
      </w:r>
    </w:p>
    <w:p w:rsidR="00F1367B" w:rsidRDefault="00F1367B" w:rsidP="00F1367B"/>
    <w:p w:rsidR="00F1367B" w:rsidRDefault="00F1367B" w:rsidP="00196945">
      <w:pPr>
        <w:keepNext/>
        <w:jc w:val="center"/>
        <w:rPr>
          <w:b/>
        </w:rPr>
      </w:pPr>
      <w:r w:rsidRPr="00F1367B">
        <w:rPr>
          <w:b/>
        </w:rPr>
        <w:t>III.  Conclusions of Law</w:t>
      </w:r>
    </w:p>
    <w:p w:rsidR="00F1367B" w:rsidRDefault="00F1367B" w:rsidP="00F1367B"/>
    <w:p w:rsidR="007769F2" w:rsidRDefault="00384314" w:rsidP="00D67C51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</w:pPr>
      <w:r>
        <w:t>Georgia law prescribes specific weight limitations for vehicles, including limitations on the weight borne by a single axle. O.C.G.A. § 32-6-26</w:t>
      </w:r>
      <w:r w:rsidR="00C35971">
        <w:t xml:space="preserve"> </w:t>
      </w:r>
      <w:r>
        <w:t>(b)</w:t>
      </w:r>
      <w:r w:rsidR="00C35971">
        <w:t xml:space="preserve"> </w:t>
      </w:r>
      <w:r>
        <w:t>(2) (2013). Anyone who violates these limitations shall be conclusively presumed to have damaged the roads and owes the state compensation O.C.G.A. § 32-6-27</w:t>
      </w:r>
      <w:r w:rsidR="0077012C">
        <w:t xml:space="preserve"> </w:t>
      </w:r>
      <w:r>
        <w:t>(a) (2013).</w:t>
      </w:r>
    </w:p>
    <w:p w:rsidR="0077012C" w:rsidRDefault="0077012C" w:rsidP="00D67C51">
      <w:pPr>
        <w:tabs>
          <w:tab w:val="left" w:pos="360"/>
        </w:tabs>
        <w:jc w:val="both"/>
      </w:pPr>
    </w:p>
    <w:p w:rsidR="0077012C" w:rsidRDefault="007769F2" w:rsidP="00D67C51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</w:pPr>
      <w:r>
        <w:t>Upon appropriate application DPS is authorized to issue a single trip permit that allows a load to exceed routine limits up to a weight specified; however, such permits are valid only on the route indicated.</w:t>
      </w:r>
      <w:r w:rsidR="0077012C">
        <w:t xml:space="preserve">  </w:t>
      </w:r>
      <w:r>
        <w:t xml:space="preserve"> </w:t>
      </w:r>
      <w:r w:rsidR="0077012C">
        <w:t xml:space="preserve">O.C.G.A. § 32-6-28 (a) and (b) (5) (2013). </w:t>
      </w:r>
      <w:r>
        <w:t xml:space="preserve"> </w:t>
      </w:r>
      <w:r w:rsidR="0077012C">
        <w:t>As applied, t</w:t>
      </w:r>
      <w:r>
        <w:t xml:space="preserve">he driver in this case was not permitted to operate on I-95.  </w:t>
      </w:r>
      <w:r w:rsidR="0077012C">
        <w:t xml:space="preserve">Inasmuch as the driver was </w:t>
      </w:r>
      <w:r w:rsidR="008040C9">
        <w:t xml:space="preserve">operating on </w:t>
      </w:r>
      <w:r w:rsidR="0077012C">
        <w:t>an unauthorized route, the permit was appropriately revoked and the</w:t>
      </w:r>
      <w:r>
        <w:t xml:space="preserve"> Inspector was free to require a second scale reading on the static scales even though the driver was within allowable gross weight interstate limits </w:t>
      </w:r>
      <w:r w:rsidR="0077012C">
        <w:t xml:space="preserve">even </w:t>
      </w:r>
      <w:r>
        <w:t>without the permit.</w:t>
      </w:r>
    </w:p>
    <w:p w:rsidR="007769F2" w:rsidRDefault="007769F2" w:rsidP="00D67C51">
      <w:pPr>
        <w:tabs>
          <w:tab w:val="left" w:pos="360"/>
        </w:tabs>
        <w:jc w:val="both"/>
      </w:pPr>
      <w:r>
        <w:t xml:space="preserve">  </w:t>
      </w:r>
    </w:p>
    <w:p w:rsidR="006C3031" w:rsidRDefault="007769F2" w:rsidP="00D67C51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</w:pPr>
      <w:r>
        <w:t>DPS</w:t>
      </w:r>
      <w:r w:rsidR="00196945">
        <w:t xml:space="preserve"> demonstrated that the</w:t>
      </w:r>
      <w:r w:rsidR="00F1367B">
        <w:t xml:space="preserve"> </w:t>
      </w:r>
      <w:r w:rsidR="00196945">
        <w:t>weight of</w:t>
      </w:r>
      <w:r w:rsidR="00F1367B">
        <w:t xml:space="preserve"> the </w:t>
      </w:r>
      <w:r w:rsidR="00196945">
        <w:t xml:space="preserve">vehicle’s seventh </w:t>
      </w:r>
      <w:r w:rsidR="00384314">
        <w:t>axle exceeded that authorized</w:t>
      </w:r>
      <w:r w:rsidR="00F1367B">
        <w:t xml:space="preserve"> by the provisions of O.C.G.A. § 32-6-26</w:t>
      </w:r>
      <w:r>
        <w:t xml:space="preserve"> </w:t>
      </w:r>
      <w:r w:rsidR="00F1367B">
        <w:t>(b)</w:t>
      </w:r>
      <w:r>
        <w:t xml:space="preserve"> </w:t>
      </w:r>
      <w:r w:rsidR="00F1367B">
        <w:t>(2)</w:t>
      </w:r>
      <w:r>
        <w:t xml:space="preserve"> by 1,540 pounds.  </w:t>
      </w:r>
      <w:r w:rsidR="0077012C">
        <w:t xml:space="preserve">Road damage is presumed. O.C.G.A. § 32-6-27 (a) (2013).  </w:t>
      </w:r>
      <w:r w:rsidR="006C3031">
        <w:t>Inasmuch as the</w:t>
      </w:r>
      <w:r w:rsidR="0077012C" w:rsidRPr="0077012C">
        <w:t xml:space="preserve"> vehicle </w:t>
      </w:r>
      <w:r w:rsidR="006C3031">
        <w:t xml:space="preserve">had </w:t>
      </w:r>
      <w:r w:rsidR="0077012C" w:rsidRPr="0077012C">
        <w:t xml:space="preserve">a permit issued pursuant to </w:t>
      </w:r>
      <w:r w:rsidR="006C3031">
        <w:t xml:space="preserve">O.C.G.A. § 32-6-28, assessment is 125% of the 5% assessment that would otherwise be calculated. O.C.G.A. § 32-6-27 (a) (2) (A) (2013).  125% of the 5% assessment of $77.00 was </w:t>
      </w:r>
      <w:r>
        <w:t>appropriate</w:t>
      </w:r>
      <w:r w:rsidR="006C3031">
        <w:t xml:space="preserve">ly calculated as </w:t>
      </w:r>
      <w:r>
        <w:t>$96.25</w:t>
      </w:r>
      <w:r w:rsidR="00F1367B">
        <w:t>.</w:t>
      </w:r>
    </w:p>
    <w:p w:rsidR="006C3031" w:rsidRDefault="006C3031" w:rsidP="00D67C51">
      <w:pPr>
        <w:pStyle w:val="ListParagraph"/>
        <w:tabs>
          <w:tab w:val="left" w:pos="360"/>
        </w:tabs>
        <w:ind w:left="0"/>
      </w:pPr>
    </w:p>
    <w:p w:rsidR="00C92309" w:rsidRDefault="008040C9" w:rsidP="00D67C51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</w:pPr>
      <w:r>
        <w:t xml:space="preserve">In overweight assessment case, </w:t>
      </w:r>
      <w:r w:rsidR="008C3444">
        <w:t>DPS</w:t>
      </w:r>
      <w:r w:rsidR="00196945">
        <w:t xml:space="preserve"> has </w:t>
      </w:r>
      <w:r w:rsidR="008C3444">
        <w:t xml:space="preserve">the initial burden of proof in this matter and </w:t>
      </w:r>
      <w:r>
        <w:t xml:space="preserve">the party assessed </w:t>
      </w:r>
      <w:r w:rsidR="008C3444">
        <w:t>has</w:t>
      </w:r>
      <w:r>
        <w:t xml:space="preserve"> the burden to present any affirmative defenses raised.</w:t>
      </w:r>
      <w:r w:rsidR="008C3444">
        <w:t>. Comp. R. &amp; Regs. 616-1-2-.07</w:t>
      </w:r>
      <w:r>
        <w:t xml:space="preserve"> (a) (2010).  </w:t>
      </w:r>
    </w:p>
    <w:p w:rsidR="00447208" w:rsidRDefault="00447208" w:rsidP="00F1367B"/>
    <w:p w:rsidR="00D67C51" w:rsidRDefault="00D67C51" w:rsidP="00447208">
      <w:pPr>
        <w:jc w:val="center"/>
        <w:rPr>
          <w:b/>
        </w:rPr>
      </w:pPr>
    </w:p>
    <w:p w:rsidR="00D67C51" w:rsidRDefault="00D67C51" w:rsidP="00447208">
      <w:pPr>
        <w:jc w:val="center"/>
        <w:rPr>
          <w:b/>
        </w:rPr>
      </w:pPr>
    </w:p>
    <w:p w:rsidR="00D67C51" w:rsidRDefault="00D67C51" w:rsidP="00447208">
      <w:pPr>
        <w:jc w:val="center"/>
        <w:rPr>
          <w:b/>
        </w:rPr>
      </w:pPr>
    </w:p>
    <w:p w:rsidR="00D67C51" w:rsidRDefault="00D67C51" w:rsidP="00447208">
      <w:pPr>
        <w:jc w:val="center"/>
        <w:rPr>
          <w:b/>
        </w:rPr>
      </w:pPr>
    </w:p>
    <w:p w:rsidR="00447208" w:rsidRDefault="00447208" w:rsidP="00447208">
      <w:pPr>
        <w:jc w:val="center"/>
        <w:rPr>
          <w:b/>
        </w:rPr>
      </w:pPr>
      <w:r>
        <w:rPr>
          <w:b/>
        </w:rPr>
        <w:t>IV.  Decision</w:t>
      </w:r>
    </w:p>
    <w:p w:rsidR="00447208" w:rsidRDefault="00447208" w:rsidP="00447208">
      <w:pPr>
        <w:jc w:val="center"/>
        <w:rPr>
          <w:b/>
        </w:rPr>
      </w:pPr>
    </w:p>
    <w:p w:rsidR="00447208" w:rsidRDefault="00163BA9" w:rsidP="00B73362">
      <w:pPr>
        <w:jc w:val="both"/>
      </w:pPr>
      <w:r>
        <w:rPr>
          <w:b/>
        </w:rPr>
        <w:t>IT IS ORDERED</w:t>
      </w:r>
      <w:r w:rsidR="00447208">
        <w:t xml:space="preserve"> that the overweight assessment</w:t>
      </w:r>
      <w:r w:rsidR="00D67C51">
        <w:t xml:space="preserve"> citation #901-13-000479 issued </w:t>
      </w:r>
      <w:r w:rsidR="00715874">
        <w:t xml:space="preserve">by </w:t>
      </w:r>
      <w:r w:rsidR="00D67C51">
        <w:t>DPS</w:t>
      </w:r>
      <w:r w:rsidR="00715874">
        <w:t xml:space="preserve"> </w:t>
      </w:r>
      <w:r w:rsidR="00447208">
        <w:t xml:space="preserve">in </w:t>
      </w:r>
      <w:r w:rsidR="00D67C51">
        <w:t>the amount of $96.25 is</w:t>
      </w:r>
      <w:r w:rsidR="00447208">
        <w:t xml:space="preserve"> </w:t>
      </w:r>
      <w:r w:rsidR="00447208">
        <w:rPr>
          <w:b/>
        </w:rPr>
        <w:t>AFFIRMED</w:t>
      </w:r>
      <w:r w:rsidR="00715874">
        <w:t>.</w:t>
      </w:r>
    </w:p>
    <w:p w:rsidR="00196945" w:rsidRDefault="00196945" w:rsidP="00447208"/>
    <w:p w:rsidR="00196945" w:rsidRPr="0007579D" w:rsidRDefault="00196945" w:rsidP="00B73362">
      <w:pPr>
        <w:spacing w:line="480" w:lineRule="auto"/>
        <w:ind w:right="576"/>
        <w:jc w:val="both"/>
        <w:rPr>
          <w:bCs/>
        </w:rPr>
      </w:pPr>
      <w:r w:rsidRPr="0007579D">
        <w:rPr>
          <w:b/>
          <w:bCs/>
        </w:rPr>
        <w:t xml:space="preserve">SO ORDERED, </w:t>
      </w:r>
      <w:r w:rsidRPr="0007579D">
        <w:rPr>
          <w:bCs/>
        </w:rPr>
        <w:t>this</w:t>
      </w:r>
      <w:r w:rsidR="00D67C51">
        <w:rPr>
          <w:bCs/>
        </w:rPr>
        <w:t xml:space="preserve"> 25</w:t>
      </w:r>
      <w:r w:rsidR="00D67C51" w:rsidRPr="00D67C51">
        <w:rPr>
          <w:bCs/>
          <w:vertAlign w:val="superscript"/>
        </w:rPr>
        <w:t>th</w:t>
      </w:r>
      <w:r w:rsidR="00D67C51">
        <w:rPr>
          <w:bCs/>
        </w:rPr>
        <w:t xml:space="preserve"> </w:t>
      </w:r>
      <w:r w:rsidRPr="0007579D">
        <w:rPr>
          <w:bCs/>
        </w:rPr>
        <w:t xml:space="preserve">day of </w:t>
      </w:r>
      <w:r>
        <w:rPr>
          <w:bCs/>
        </w:rPr>
        <w:t>September</w:t>
      </w:r>
      <w:r w:rsidRPr="0007579D">
        <w:rPr>
          <w:bCs/>
        </w:rPr>
        <w:t xml:space="preserve"> 201</w:t>
      </w:r>
      <w:r>
        <w:rPr>
          <w:bCs/>
        </w:rPr>
        <w:t>3</w:t>
      </w:r>
      <w:r w:rsidRPr="0007579D">
        <w:rPr>
          <w:bCs/>
        </w:rPr>
        <w:t>.</w:t>
      </w:r>
    </w:p>
    <w:p w:rsidR="00196945" w:rsidRPr="00D67C51" w:rsidRDefault="00196945" w:rsidP="00196945">
      <w:pPr>
        <w:ind w:left="3600" w:right="576"/>
      </w:pPr>
      <w:r>
        <w:tab/>
      </w:r>
    </w:p>
    <w:p w:rsidR="00196945" w:rsidRPr="00D67C51" w:rsidRDefault="00196945" w:rsidP="00196945">
      <w:pPr>
        <w:ind w:left="4320" w:right="576" w:firstLine="720"/>
        <w:rPr>
          <w:bCs/>
        </w:rPr>
      </w:pPr>
      <w:r w:rsidRPr="00D67C51">
        <w:rPr>
          <w:bCs/>
        </w:rPr>
        <w:t>______________________________</w:t>
      </w:r>
    </w:p>
    <w:p w:rsidR="00196945" w:rsidRPr="00D67C51" w:rsidRDefault="00196945" w:rsidP="00196945">
      <w:pPr>
        <w:ind w:right="576"/>
        <w:rPr>
          <w:bCs/>
        </w:rPr>
      </w:pPr>
      <w:r w:rsidRPr="00D67C51">
        <w:rPr>
          <w:bCs/>
        </w:rPr>
        <w:tab/>
      </w:r>
      <w:r w:rsidRPr="00D67C51">
        <w:rPr>
          <w:bCs/>
        </w:rPr>
        <w:tab/>
      </w:r>
      <w:r w:rsidRPr="00D67C51">
        <w:rPr>
          <w:bCs/>
        </w:rPr>
        <w:tab/>
      </w:r>
      <w:r w:rsidRPr="00D67C51">
        <w:rPr>
          <w:bCs/>
        </w:rPr>
        <w:tab/>
      </w:r>
      <w:r w:rsidRPr="00D67C51">
        <w:rPr>
          <w:bCs/>
        </w:rPr>
        <w:tab/>
      </w:r>
      <w:r w:rsidRPr="00D67C51">
        <w:rPr>
          <w:bCs/>
        </w:rPr>
        <w:tab/>
      </w:r>
      <w:r w:rsidRPr="00D67C51">
        <w:rPr>
          <w:bCs/>
        </w:rPr>
        <w:tab/>
        <w:t>Steven W. Teate</w:t>
      </w:r>
    </w:p>
    <w:p w:rsidR="00196945" w:rsidRPr="00D67C51" w:rsidRDefault="00196945" w:rsidP="00196945">
      <w:pPr>
        <w:ind w:right="576"/>
        <w:rPr>
          <w:bCs/>
        </w:rPr>
      </w:pPr>
      <w:r w:rsidRPr="00D67C51">
        <w:rPr>
          <w:bCs/>
        </w:rPr>
        <w:tab/>
      </w:r>
      <w:r w:rsidRPr="00D67C51">
        <w:rPr>
          <w:bCs/>
        </w:rPr>
        <w:tab/>
      </w:r>
      <w:r w:rsidRPr="00D67C51">
        <w:rPr>
          <w:bCs/>
        </w:rPr>
        <w:tab/>
      </w:r>
      <w:r w:rsidRPr="00D67C51">
        <w:rPr>
          <w:bCs/>
        </w:rPr>
        <w:tab/>
      </w:r>
      <w:r w:rsidRPr="00D67C51">
        <w:rPr>
          <w:bCs/>
        </w:rPr>
        <w:tab/>
      </w:r>
      <w:r w:rsidRPr="00D67C51">
        <w:rPr>
          <w:bCs/>
        </w:rPr>
        <w:tab/>
      </w:r>
      <w:r w:rsidRPr="00D67C51">
        <w:rPr>
          <w:bCs/>
        </w:rPr>
        <w:tab/>
        <w:t>Administrative Law Judge</w:t>
      </w:r>
    </w:p>
    <w:p w:rsidR="001C3005" w:rsidRPr="00D67C51" w:rsidRDefault="001C3005" w:rsidP="00196945">
      <w:pPr>
        <w:ind w:right="576"/>
        <w:rPr>
          <w:bCs/>
        </w:rPr>
      </w:pPr>
    </w:p>
    <w:p w:rsidR="001C3005" w:rsidRDefault="001C3005" w:rsidP="00196945">
      <w:pPr>
        <w:ind w:right="576"/>
        <w:rPr>
          <w:b/>
          <w:bCs/>
        </w:rPr>
      </w:pPr>
    </w:p>
    <w:sectPr w:rsidR="001C300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D6" w:rsidRDefault="004571D6" w:rsidP="00B73362">
      <w:r>
        <w:separator/>
      </w:r>
    </w:p>
  </w:endnote>
  <w:endnote w:type="continuationSeparator" w:id="0">
    <w:p w:rsidR="004571D6" w:rsidRDefault="004571D6" w:rsidP="00B7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51" w:rsidRPr="00537D80" w:rsidRDefault="00D67C51" w:rsidP="00B73362">
    <w:pPr>
      <w:pStyle w:val="Footer"/>
      <w:rPr>
        <w:sz w:val="20"/>
        <w:szCs w:val="20"/>
      </w:rPr>
    </w:pPr>
    <w:r w:rsidRPr="00537D80">
      <w:rPr>
        <w:sz w:val="20"/>
        <w:szCs w:val="20"/>
      </w:rPr>
      <w:t xml:space="preserve">Page </w:t>
    </w:r>
    <w:r w:rsidRPr="00537D80">
      <w:rPr>
        <w:sz w:val="20"/>
        <w:szCs w:val="20"/>
      </w:rPr>
      <w:fldChar w:fldCharType="begin"/>
    </w:r>
    <w:r w:rsidRPr="00537D80">
      <w:rPr>
        <w:sz w:val="20"/>
        <w:szCs w:val="20"/>
      </w:rPr>
      <w:instrText xml:space="preserve"> PAGE </w:instrText>
    </w:r>
    <w:r w:rsidRPr="00537D80">
      <w:rPr>
        <w:sz w:val="20"/>
        <w:szCs w:val="20"/>
      </w:rPr>
      <w:fldChar w:fldCharType="separate"/>
    </w:r>
    <w:r w:rsidR="0087757D">
      <w:rPr>
        <w:noProof/>
        <w:sz w:val="20"/>
        <w:szCs w:val="20"/>
      </w:rPr>
      <w:t>1</w:t>
    </w:r>
    <w:r w:rsidRPr="00537D80">
      <w:rPr>
        <w:sz w:val="20"/>
        <w:szCs w:val="20"/>
      </w:rPr>
      <w:fldChar w:fldCharType="end"/>
    </w:r>
    <w:r w:rsidRPr="00537D80">
      <w:rPr>
        <w:sz w:val="20"/>
        <w:szCs w:val="20"/>
      </w:rPr>
      <w:t xml:space="preserve"> of </w:t>
    </w:r>
    <w:r w:rsidRPr="00537D80">
      <w:rPr>
        <w:sz w:val="20"/>
        <w:szCs w:val="20"/>
      </w:rPr>
      <w:fldChar w:fldCharType="begin"/>
    </w:r>
    <w:r w:rsidRPr="00537D80">
      <w:rPr>
        <w:sz w:val="20"/>
        <w:szCs w:val="20"/>
      </w:rPr>
      <w:instrText xml:space="preserve"> NUMPAGES </w:instrText>
    </w:r>
    <w:r w:rsidRPr="00537D80">
      <w:rPr>
        <w:sz w:val="20"/>
        <w:szCs w:val="20"/>
      </w:rPr>
      <w:fldChar w:fldCharType="separate"/>
    </w:r>
    <w:r w:rsidR="0087757D">
      <w:rPr>
        <w:noProof/>
        <w:sz w:val="20"/>
        <w:szCs w:val="20"/>
      </w:rPr>
      <w:t>3</w:t>
    </w:r>
    <w:r w:rsidRPr="00537D80">
      <w:rPr>
        <w:sz w:val="20"/>
        <w:szCs w:val="20"/>
      </w:rPr>
      <w:fldChar w:fldCharType="end"/>
    </w:r>
    <w:r w:rsidRPr="00537D80">
      <w:rPr>
        <w:sz w:val="20"/>
        <w:szCs w:val="20"/>
      </w:rPr>
      <w:tab/>
    </w:r>
    <w:r w:rsidRPr="00537D80">
      <w:rPr>
        <w:sz w:val="20"/>
        <w:szCs w:val="20"/>
      </w:rPr>
      <w:tab/>
      <w:t>Volume:  ______________  Page:  ____________</w:t>
    </w:r>
  </w:p>
  <w:p w:rsidR="00D67C51" w:rsidRDefault="00D67C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D6" w:rsidRDefault="004571D6" w:rsidP="00B73362">
      <w:r>
        <w:separator/>
      </w:r>
    </w:p>
  </w:footnote>
  <w:footnote w:type="continuationSeparator" w:id="0">
    <w:p w:rsidR="004571D6" w:rsidRDefault="004571D6" w:rsidP="00B73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25B7"/>
    <w:multiLevelType w:val="hybridMultilevel"/>
    <w:tmpl w:val="3594CBCC"/>
    <w:lvl w:ilvl="0" w:tplc="E4FC2D0E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6029B"/>
    <w:multiLevelType w:val="hybridMultilevel"/>
    <w:tmpl w:val="ED988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2B"/>
    <w:rsid w:val="00074D6C"/>
    <w:rsid w:val="000D7C99"/>
    <w:rsid w:val="00163BA9"/>
    <w:rsid w:val="00196945"/>
    <w:rsid w:val="001A0879"/>
    <w:rsid w:val="001A31C3"/>
    <w:rsid w:val="001C3005"/>
    <w:rsid w:val="001F1EFC"/>
    <w:rsid w:val="001F67BD"/>
    <w:rsid w:val="00274FA6"/>
    <w:rsid w:val="002C3240"/>
    <w:rsid w:val="00342477"/>
    <w:rsid w:val="00384314"/>
    <w:rsid w:val="004252E9"/>
    <w:rsid w:val="00447208"/>
    <w:rsid w:val="004571D6"/>
    <w:rsid w:val="006C3031"/>
    <w:rsid w:val="00715874"/>
    <w:rsid w:val="0077012C"/>
    <w:rsid w:val="007769F2"/>
    <w:rsid w:val="007D2360"/>
    <w:rsid w:val="008040C9"/>
    <w:rsid w:val="0087757D"/>
    <w:rsid w:val="008B2893"/>
    <w:rsid w:val="008C3444"/>
    <w:rsid w:val="008D27EA"/>
    <w:rsid w:val="008F6F20"/>
    <w:rsid w:val="00904640"/>
    <w:rsid w:val="00A11E41"/>
    <w:rsid w:val="00B73362"/>
    <w:rsid w:val="00C35971"/>
    <w:rsid w:val="00C5700C"/>
    <w:rsid w:val="00C92309"/>
    <w:rsid w:val="00CA46F3"/>
    <w:rsid w:val="00D67C51"/>
    <w:rsid w:val="00DD0E50"/>
    <w:rsid w:val="00F1367B"/>
    <w:rsid w:val="00F4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A46F3"/>
    <w:pPr>
      <w:keepNext/>
      <w:widowControl w:val="0"/>
      <w:autoSpaceDE w:val="0"/>
      <w:autoSpaceDN w:val="0"/>
      <w:adjustRightInd w:val="0"/>
      <w:ind w:right="-144"/>
      <w:jc w:val="center"/>
      <w:outlineLvl w:val="4"/>
    </w:pPr>
    <w:rPr>
      <w:b/>
      <w:bCs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A46F3"/>
    <w:pPr>
      <w:keepNext/>
      <w:widowControl w:val="0"/>
      <w:autoSpaceDE w:val="0"/>
      <w:autoSpaceDN w:val="0"/>
      <w:adjustRightInd w:val="0"/>
      <w:ind w:right="-428"/>
      <w:jc w:val="both"/>
      <w:outlineLvl w:val="7"/>
    </w:pPr>
    <w:rPr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CA46F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CA46F3"/>
    <w:rPr>
      <w:rFonts w:ascii="Times New Roman" w:eastAsia="Times New Roman" w:hAnsi="Times New Roman" w:cs="Times New Roman"/>
      <w:sz w:val="24"/>
      <w:szCs w:val="19"/>
    </w:rPr>
  </w:style>
  <w:style w:type="paragraph" w:styleId="BodyText3">
    <w:name w:val="Body Text 3"/>
    <w:basedOn w:val="Normal"/>
    <w:link w:val="BodyText3Char"/>
    <w:semiHidden/>
    <w:unhideWhenUsed/>
    <w:rsid w:val="00CA46F3"/>
    <w:rPr>
      <w:sz w:val="22"/>
      <w:szCs w:val="19"/>
    </w:rPr>
  </w:style>
  <w:style w:type="character" w:customStyle="1" w:styleId="BodyText3Char">
    <w:name w:val="Body Text 3 Char"/>
    <w:basedOn w:val="DefaultParagraphFont"/>
    <w:link w:val="BodyText3"/>
    <w:semiHidden/>
    <w:rsid w:val="00CA46F3"/>
    <w:rPr>
      <w:rFonts w:ascii="Times New Roman" w:eastAsia="Times New Roman" w:hAnsi="Times New Roman" w:cs="Times New Roman"/>
      <w:szCs w:val="19"/>
    </w:rPr>
  </w:style>
  <w:style w:type="paragraph" w:styleId="Header">
    <w:name w:val="header"/>
    <w:basedOn w:val="Normal"/>
    <w:link w:val="HeaderChar"/>
    <w:uiPriority w:val="99"/>
    <w:unhideWhenUsed/>
    <w:rsid w:val="00B73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3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73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336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46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30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A46F3"/>
    <w:pPr>
      <w:keepNext/>
      <w:widowControl w:val="0"/>
      <w:autoSpaceDE w:val="0"/>
      <w:autoSpaceDN w:val="0"/>
      <w:adjustRightInd w:val="0"/>
      <w:ind w:right="-144"/>
      <w:jc w:val="center"/>
      <w:outlineLvl w:val="4"/>
    </w:pPr>
    <w:rPr>
      <w:b/>
      <w:bCs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A46F3"/>
    <w:pPr>
      <w:keepNext/>
      <w:widowControl w:val="0"/>
      <w:autoSpaceDE w:val="0"/>
      <w:autoSpaceDN w:val="0"/>
      <w:adjustRightInd w:val="0"/>
      <w:ind w:right="-428"/>
      <w:jc w:val="both"/>
      <w:outlineLvl w:val="7"/>
    </w:pPr>
    <w:rPr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CA46F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CA46F3"/>
    <w:rPr>
      <w:rFonts w:ascii="Times New Roman" w:eastAsia="Times New Roman" w:hAnsi="Times New Roman" w:cs="Times New Roman"/>
      <w:sz w:val="24"/>
      <w:szCs w:val="19"/>
    </w:rPr>
  </w:style>
  <w:style w:type="paragraph" w:styleId="BodyText3">
    <w:name w:val="Body Text 3"/>
    <w:basedOn w:val="Normal"/>
    <w:link w:val="BodyText3Char"/>
    <w:semiHidden/>
    <w:unhideWhenUsed/>
    <w:rsid w:val="00CA46F3"/>
    <w:rPr>
      <w:sz w:val="22"/>
      <w:szCs w:val="19"/>
    </w:rPr>
  </w:style>
  <w:style w:type="character" w:customStyle="1" w:styleId="BodyText3Char">
    <w:name w:val="Body Text 3 Char"/>
    <w:basedOn w:val="DefaultParagraphFont"/>
    <w:link w:val="BodyText3"/>
    <w:semiHidden/>
    <w:rsid w:val="00CA46F3"/>
    <w:rPr>
      <w:rFonts w:ascii="Times New Roman" w:eastAsia="Times New Roman" w:hAnsi="Times New Roman" w:cs="Times New Roman"/>
      <w:szCs w:val="19"/>
    </w:rPr>
  </w:style>
  <w:style w:type="paragraph" w:styleId="Header">
    <w:name w:val="header"/>
    <w:basedOn w:val="Normal"/>
    <w:link w:val="HeaderChar"/>
    <w:uiPriority w:val="99"/>
    <w:unhideWhenUsed/>
    <w:rsid w:val="00B73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3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73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336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46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3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4273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Administrative Services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State Administrative Hearings</dc:creator>
  <cp:lastModifiedBy>OSAH</cp:lastModifiedBy>
  <cp:revision>2</cp:revision>
  <cp:lastPrinted>2013-09-25T14:05:00Z</cp:lastPrinted>
  <dcterms:created xsi:type="dcterms:W3CDTF">2013-09-30T14:22:00Z</dcterms:created>
  <dcterms:modified xsi:type="dcterms:W3CDTF">2013-09-30T14:22:00Z</dcterms:modified>
</cp:coreProperties>
</file>