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CF" w:rsidRDefault="009B16CF" w:rsidP="009B16CF">
      <w:pPr>
        <w:tabs>
          <w:tab w:val="center" w:pos="4680"/>
        </w:tabs>
        <w:jc w:val="both"/>
        <w:rPr>
          <w:b/>
          <w:bCs/>
          <w:sz w:val="24"/>
          <w:szCs w:val="28"/>
        </w:rPr>
      </w:pPr>
      <w:bookmarkStart w:id="0" w:name="_GoBack"/>
      <w:bookmarkEnd w:id="0"/>
      <w:r>
        <w:rPr>
          <w:sz w:val="24"/>
        </w:rPr>
        <w:tab/>
      </w:r>
      <w:r>
        <w:rPr>
          <w:b/>
          <w:bCs/>
          <w:sz w:val="24"/>
        </w:rPr>
        <w:t>BEFORE THE</w:t>
      </w:r>
      <w:r>
        <w:rPr>
          <w:sz w:val="24"/>
        </w:rPr>
        <w:t xml:space="preserve"> </w:t>
      </w:r>
      <w:r>
        <w:rPr>
          <w:b/>
          <w:bCs/>
          <w:sz w:val="24"/>
          <w:szCs w:val="28"/>
        </w:rPr>
        <w:t>OFFICE OF STATE ADMINISTRATIVE HEARINGS</w:t>
      </w:r>
    </w:p>
    <w:p w:rsidR="009B16CF" w:rsidRPr="00361B48" w:rsidRDefault="009B16CF" w:rsidP="009B16CF">
      <w:pPr>
        <w:pStyle w:val="Heading1"/>
        <w:tabs>
          <w:tab w:val="clear" w:pos="5400"/>
        </w:tabs>
        <w:rPr>
          <w:sz w:val="24"/>
        </w:rPr>
      </w:pPr>
      <w:r w:rsidRPr="00361B48">
        <w:rPr>
          <w:sz w:val="24"/>
        </w:rPr>
        <w:t>STATE OF GEORGIA</w:t>
      </w:r>
    </w:p>
    <w:p w:rsidR="009B16CF" w:rsidRPr="00966FBD" w:rsidRDefault="009B16CF" w:rsidP="009B16CF">
      <w:pPr>
        <w:tabs>
          <w:tab w:val="center" w:pos="4680"/>
        </w:tabs>
        <w:rPr>
          <w:b/>
          <w:bCs/>
          <w:sz w:val="24"/>
        </w:rPr>
      </w:pPr>
      <w:r w:rsidRPr="00966FBD">
        <w:rPr>
          <w:b/>
          <w:bCs/>
          <w:sz w:val="24"/>
        </w:rPr>
        <w:tab/>
      </w:r>
    </w:p>
    <w:tbl>
      <w:tblPr>
        <w:tblW w:w="9719" w:type="dxa"/>
        <w:jc w:val="center"/>
        <w:tblInd w:w="8" w:type="dxa"/>
        <w:tblLayout w:type="fixed"/>
        <w:tblCellMar>
          <w:left w:w="0" w:type="dxa"/>
          <w:right w:w="0" w:type="dxa"/>
        </w:tblCellMar>
        <w:tblLook w:val="0000" w:firstRow="0" w:lastRow="0" w:firstColumn="0" w:lastColumn="0" w:noHBand="0" w:noVBand="0"/>
      </w:tblPr>
      <w:tblGrid>
        <w:gridCol w:w="4391"/>
        <w:gridCol w:w="144"/>
        <w:gridCol w:w="287"/>
        <w:gridCol w:w="144"/>
        <w:gridCol w:w="4753"/>
      </w:tblGrid>
      <w:tr w:rsidR="009B16CF" w:rsidRPr="00966FBD">
        <w:trPr>
          <w:jc w:val="center"/>
        </w:trPr>
        <w:tc>
          <w:tcPr>
            <w:tcW w:w="4391" w:type="dxa"/>
          </w:tcPr>
          <w:p w:rsidR="009B16CF" w:rsidRPr="00966FBD" w:rsidRDefault="009B16CF" w:rsidP="009B16CF">
            <w:pPr>
              <w:spacing w:line="220" w:lineRule="auto"/>
              <w:rPr>
                <w:b/>
                <w:sz w:val="24"/>
                <w:szCs w:val="18"/>
              </w:rPr>
            </w:pPr>
            <w:r>
              <w:rPr>
                <w:b/>
                <w:sz w:val="24"/>
                <w:szCs w:val="18"/>
              </w:rPr>
              <w:t>THEO HOLT</w:t>
            </w:r>
            <w:r w:rsidRPr="00966FBD">
              <w:rPr>
                <w:b/>
                <w:sz w:val="24"/>
                <w:szCs w:val="18"/>
              </w:rPr>
              <w:t>,</w:t>
            </w:r>
            <w:r w:rsidRPr="00EA6966">
              <w:rPr>
                <w:rStyle w:val="FootnoteReference"/>
                <w:b/>
                <w:sz w:val="24"/>
                <w:szCs w:val="18"/>
                <w:vertAlign w:val="superscript"/>
              </w:rPr>
              <w:footnoteReference w:id="1"/>
            </w:r>
          </w:p>
          <w:p w:rsidR="009B16CF" w:rsidRPr="00966FBD" w:rsidRDefault="009B16CF" w:rsidP="009B16CF">
            <w:pPr>
              <w:spacing w:line="220" w:lineRule="auto"/>
              <w:ind w:firstLine="1440"/>
              <w:rPr>
                <w:b/>
                <w:sz w:val="24"/>
                <w:szCs w:val="18"/>
              </w:rPr>
            </w:pPr>
            <w:r w:rsidRPr="00966FBD">
              <w:rPr>
                <w:b/>
                <w:sz w:val="24"/>
                <w:szCs w:val="18"/>
              </w:rPr>
              <w:t>Petitioner,</w:t>
            </w:r>
          </w:p>
          <w:p w:rsidR="009B16CF" w:rsidRPr="00966FBD" w:rsidRDefault="009B16CF" w:rsidP="009B16CF">
            <w:pPr>
              <w:spacing w:line="220" w:lineRule="auto"/>
              <w:rPr>
                <w:b/>
                <w:sz w:val="24"/>
                <w:szCs w:val="18"/>
              </w:rPr>
            </w:pPr>
          </w:p>
          <w:p w:rsidR="009B16CF" w:rsidRPr="00966FBD" w:rsidRDefault="009B16CF" w:rsidP="009B16CF">
            <w:pPr>
              <w:spacing w:line="220" w:lineRule="auto"/>
              <w:rPr>
                <w:b/>
                <w:sz w:val="24"/>
                <w:szCs w:val="18"/>
              </w:rPr>
            </w:pPr>
            <w:proofErr w:type="gramStart"/>
            <w:r w:rsidRPr="00966FBD">
              <w:rPr>
                <w:b/>
                <w:sz w:val="24"/>
                <w:szCs w:val="18"/>
              </w:rPr>
              <w:t>v</w:t>
            </w:r>
            <w:proofErr w:type="gramEnd"/>
            <w:r w:rsidRPr="00966FBD">
              <w:rPr>
                <w:b/>
                <w:sz w:val="24"/>
                <w:szCs w:val="18"/>
              </w:rPr>
              <w:t>.</w:t>
            </w:r>
          </w:p>
          <w:p w:rsidR="009B16CF" w:rsidRPr="00966FBD" w:rsidRDefault="009B16CF" w:rsidP="009B16CF">
            <w:pPr>
              <w:spacing w:line="220" w:lineRule="auto"/>
              <w:rPr>
                <w:b/>
                <w:sz w:val="24"/>
                <w:szCs w:val="18"/>
              </w:rPr>
            </w:pPr>
          </w:p>
          <w:p w:rsidR="009B16CF" w:rsidRPr="00966FBD" w:rsidRDefault="009B16CF" w:rsidP="009B16CF">
            <w:pPr>
              <w:spacing w:line="220" w:lineRule="auto"/>
              <w:rPr>
                <w:b/>
                <w:sz w:val="24"/>
                <w:szCs w:val="18"/>
              </w:rPr>
            </w:pPr>
            <w:r>
              <w:rPr>
                <w:b/>
                <w:sz w:val="24"/>
                <w:szCs w:val="18"/>
              </w:rPr>
              <w:t>DEPARTMENT OF HUMAN SERVICES</w:t>
            </w:r>
            <w:r w:rsidRPr="00966FBD">
              <w:rPr>
                <w:b/>
                <w:sz w:val="24"/>
                <w:szCs w:val="18"/>
              </w:rPr>
              <w:t>,</w:t>
            </w:r>
          </w:p>
          <w:p w:rsidR="009B16CF" w:rsidRPr="00966FBD" w:rsidRDefault="009B16CF" w:rsidP="009B16CF">
            <w:pPr>
              <w:spacing w:line="220" w:lineRule="auto"/>
              <w:ind w:firstLine="1440"/>
              <w:rPr>
                <w:b/>
                <w:sz w:val="24"/>
                <w:szCs w:val="18"/>
              </w:rPr>
            </w:pPr>
            <w:r w:rsidRPr="00966FBD">
              <w:rPr>
                <w:b/>
                <w:sz w:val="24"/>
                <w:szCs w:val="18"/>
              </w:rPr>
              <w:t>Respondent.</w:t>
            </w:r>
          </w:p>
        </w:tc>
        <w:tc>
          <w:tcPr>
            <w:tcW w:w="144" w:type="dxa"/>
          </w:tcPr>
          <w:p w:rsidR="009B16CF" w:rsidRPr="00966FBD" w:rsidRDefault="009B16CF" w:rsidP="009B16CF">
            <w:pPr>
              <w:rPr>
                <w:b/>
                <w:sz w:val="24"/>
                <w:szCs w:val="18"/>
              </w:rPr>
            </w:pPr>
          </w:p>
        </w:tc>
        <w:tc>
          <w:tcPr>
            <w:tcW w:w="287" w:type="dxa"/>
          </w:tcPr>
          <w:p w:rsidR="009B16CF" w:rsidRPr="00966FBD"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r w:rsidRPr="00966FBD">
              <w:rPr>
                <w:b/>
                <w:sz w:val="24"/>
                <w:szCs w:val="18"/>
              </w:rPr>
              <w:t xml:space="preserve">: </w:t>
            </w:r>
          </w:p>
          <w:p w:rsidR="009B16CF" w:rsidRDefault="009B16CF" w:rsidP="009B16CF">
            <w:pPr>
              <w:spacing w:line="220" w:lineRule="auto"/>
              <w:rPr>
                <w:b/>
                <w:sz w:val="24"/>
                <w:szCs w:val="18"/>
              </w:rPr>
            </w:pPr>
            <w:r w:rsidRPr="00966FBD">
              <w:rPr>
                <w:b/>
                <w:sz w:val="24"/>
                <w:szCs w:val="18"/>
              </w:rPr>
              <w:t>:</w:t>
            </w:r>
          </w:p>
          <w:p w:rsidR="009B16CF" w:rsidRPr="00966FBD" w:rsidRDefault="009B16CF" w:rsidP="009B16CF">
            <w:pPr>
              <w:spacing w:line="220" w:lineRule="auto"/>
              <w:rPr>
                <w:b/>
                <w:sz w:val="24"/>
                <w:szCs w:val="18"/>
              </w:rPr>
            </w:pPr>
          </w:p>
        </w:tc>
        <w:tc>
          <w:tcPr>
            <w:tcW w:w="144" w:type="dxa"/>
          </w:tcPr>
          <w:p w:rsidR="009B16CF" w:rsidRPr="00966FBD" w:rsidRDefault="009B16CF" w:rsidP="009B16CF">
            <w:pPr>
              <w:rPr>
                <w:b/>
                <w:sz w:val="24"/>
                <w:szCs w:val="18"/>
              </w:rPr>
            </w:pPr>
          </w:p>
        </w:tc>
        <w:tc>
          <w:tcPr>
            <w:tcW w:w="4753" w:type="dxa"/>
          </w:tcPr>
          <w:p w:rsidR="009B16CF" w:rsidRPr="00966FBD" w:rsidRDefault="009B16CF" w:rsidP="009B16CF">
            <w:pPr>
              <w:spacing w:line="220" w:lineRule="auto"/>
              <w:rPr>
                <w:b/>
                <w:sz w:val="24"/>
                <w:szCs w:val="18"/>
              </w:rPr>
            </w:pPr>
          </w:p>
          <w:p w:rsidR="009B16CF" w:rsidRDefault="009B16CF" w:rsidP="009B16CF">
            <w:pPr>
              <w:spacing w:line="220" w:lineRule="auto"/>
              <w:rPr>
                <w:b/>
                <w:sz w:val="24"/>
                <w:szCs w:val="18"/>
              </w:rPr>
            </w:pPr>
          </w:p>
          <w:p w:rsidR="009B16CF" w:rsidRDefault="009B16CF" w:rsidP="009B16CF">
            <w:pPr>
              <w:spacing w:line="220" w:lineRule="auto"/>
              <w:rPr>
                <w:b/>
                <w:sz w:val="24"/>
                <w:szCs w:val="18"/>
              </w:rPr>
            </w:pPr>
          </w:p>
          <w:p w:rsidR="009B16CF" w:rsidRPr="00966FBD" w:rsidRDefault="009B16CF" w:rsidP="009B16CF">
            <w:pPr>
              <w:spacing w:line="220" w:lineRule="auto"/>
              <w:rPr>
                <w:b/>
                <w:sz w:val="24"/>
                <w:szCs w:val="18"/>
              </w:rPr>
            </w:pPr>
            <w:r w:rsidRPr="00966FBD">
              <w:rPr>
                <w:b/>
                <w:sz w:val="24"/>
                <w:szCs w:val="18"/>
              </w:rPr>
              <w:t>Docket No.</w:t>
            </w:r>
            <w:r>
              <w:rPr>
                <w:b/>
                <w:sz w:val="24"/>
                <w:szCs w:val="18"/>
              </w:rPr>
              <w:t>:</w:t>
            </w:r>
            <w:r w:rsidRPr="00966FBD">
              <w:rPr>
                <w:b/>
                <w:sz w:val="24"/>
                <w:szCs w:val="18"/>
              </w:rPr>
              <w:t xml:space="preserve"> </w:t>
            </w:r>
          </w:p>
          <w:p w:rsidR="009B16CF" w:rsidRDefault="009B16CF" w:rsidP="009B16CF">
            <w:pPr>
              <w:spacing w:line="220" w:lineRule="auto"/>
              <w:rPr>
                <w:b/>
                <w:sz w:val="24"/>
                <w:szCs w:val="18"/>
              </w:rPr>
            </w:pPr>
            <w:r>
              <w:rPr>
                <w:b/>
                <w:sz w:val="24"/>
                <w:szCs w:val="18"/>
              </w:rPr>
              <w:t>OSAH-DHS-RCC_CRC-1429390-60</w:t>
            </w:r>
            <w:r w:rsidRPr="00966FBD">
              <w:rPr>
                <w:b/>
                <w:sz w:val="24"/>
                <w:szCs w:val="18"/>
              </w:rPr>
              <w:t>-Miller</w:t>
            </w:r>
          </w:p>
          <w:p w:rsidR="009B16CF" w:rsidRDefault="009B16CF" w:rsidP="009B16CF">
            <w:pPr>
              <w:spacing w:line="220" w:lineRule="auto"/>
              <w:rPr>
                <w:b/>
                <w:sz w:val="24"/>
                <w:szCs w:val="18"/>
              </w:rPr>
            </w:pPr>
          </w:p>
          <w:p w:rsidR="009B16CF" w:rsidRPr="00966FBD" w:rsidRDefault="009B16CF" w:rsidP="009B16CF">
            <w:pPr>
              <w:spacing w:line="220" w:lineRule="auto"/>
              <w:rPr>
                <w:b/>
                <w:sz w:val="24"/>
                <w:szCs w:val="18"/>
              </w:rPr>
            </w:pPr>
          </w:p>
          <w:p w:rsidR="009B16CF" w:rsidRPr="00966FBD" w:rsidRDefault="009B16CF" w:rsidP="009B16CF">
            <w:pPr>
              <w:spacing w:line="220" w:lineRule="auto"/>
              <w:rPr>
                <w:b/>
                <w:sz w:val="24"/>
                <w:szCs w:val="18"/>
              </w:rPr>
            </w:pPr>
          </w:p>
        </w:tc>
      </w:tr>
    </w:tbl>
    <w:p w:rsidR="009B16CF" w:rsidRPr="00361B48" w:rsidRDefault="009B16CF" w:rsidP="009B16CF">
      <w:pPr>
        <w:pStyle w:val="Caption"/>
        <w:tabs>
          <w:tab w:val="clear" w:pos="5400"/>
        </w:tabs>
        <w:rPr>
          <w:sz w:val="24"/>
        </w:rPr>
      </w:pPr>
      <w:r>
        <w:rPr>
          <w:sz w:val="24"/>
        </w:rPr>
        <w:t>INITI</w:t>
      </w:r>
      <w:r w:rsidRPr="00361B48">
        <w:rPr>
          <w:sz w:val="24"/>
        </w:rPr>
        <w:t>AL DECISION</w:t>
      </w:r>
    </w:p>
    <w:p w:rsidR="009B16CF" w:rsidRPr="00361B48" w:rsidRDefault="009B16CF" w:rsidP="009B16CF">
      <w:pPr>
        <w:jc w:val="both"/>
        <w:rPr>
          <w:sz w:val="24"/>
        </w:rPr>
      </w:pPr>
    </w:p>
    <w:p w:rsidR="009B16CF" w:rsidRPr="00361B48" w:rsidRDefault="009B16CF" w:rsidP="009B16CF">
      <w:pPr>
        <w:pStyle w:val="Heading1"/>
        <w:rPr>
          <w:sz w:val="24"/>
        </w:rPr>
      </w:pPr>
      <w:r w:rsidRPr="00361B48">
        <w:rPr>
          <w:sz w:val="24"/>
        </w:rPr>
        <w:t>I.  Introduction</w:t>
      </w:r>
    </w:p>
    <w:p w:rsidR="009B16CF" w:rsidRPr="00361B48" w:rsidRDefault="009B16CF" w:rsidP="009B16CF">
      <w:pPr>
        <w:spacing w:line="226" w:lineRule="auto"/>
        <w:rPr>
          <w:sz w:val="24"/>
        </w:rPr>
      </w:pPr>
    </w:p>
    <w:p w:rsidR="009B16CF" w:rsidRPr="00361B48" w:rsidRDefault="009B16CF" w:rsidP="009B16CF">
      <w:pPr>
        <w:tabs>
          <w:tab w:val="center" w:pos="5616"/>
        </w:tabs>
        <w:jc w:val="both"/>
        <w:rPr>
          <w:bCs/>
          <w:sz w:val="24"/>
        </w:rPr>
      </w:pPr>
      <w:r w:rsidRPr="00361B48">
        <w:rPr>
          <w:bCs/>
          <w:sz w:val="24"/>
        </w:rPr>
        <w:t>The Petitioner in this matter s</w:t>
      </w:r>
      <w:r>
        <w:rPr>
          <w:bCs/>
          <w:sz w:val="24"/>
        </w:rPr>
        <w:t xml:space="preserve">eeks review of the Respondent’s determination that the Petitioner’s criminal record precludes approval of the Petitioner’s employment at a child-placing agency. </w:t>
      </w:r>
      <w:r w:rsidRPr="00361B48">
        <w:rPr>
          <w:bCs/>
          <w:sz w:val="24"/>
        </w:rPr>
        <w:t xml:space="preserve">The hearing </w:t>
      </w:r>
      <w:r>
        <w:rPr>
          <w:bCs/>
          <w:sz w:val="24"/>
        </w:rPr>
        <w:t>took place</w:t>
      </w:r>
      <w:r w:rsidRPr="00361B48">
        <w:rPr>
          <w:bCs/>
          <w:sz w:val="24"/>
        </w:rPr>
        <w:t xml:space="preserve"> on </w:t>
      </w:r>
      <w:r>
        <w:rPr>
          <w:bCs/>
          <w:sz w:val="24"/>
        </w:rPr>
        <w:t>February 7, 2014</w:t>
      </w:r>
      <w:r w:rsidRPr="00361B48">
        <w:rPr>
          <w:bCs/>
          <w:sz w:val="24"/>
        </w:rPr>
        <w:t xml:space="preserve">, before </w:t>
      </w:r>
      <w:r>
        <w:rPr>
          <w:bCs/>
          <w:sz w:val="24"/>
        </w:rPr>
        <w:t>the undersigned</w:t>
      </w:r>
      <w:r w:rsidRPr="00361B48">
        <w:rPr>
          <w:bCs/>
          <w:sz w:val="24"/>
        </w:rPr>
        <w:t xml:space="preserve"> administrative law judge of the Office of State Administrative Hearings</w:t>
      </w:r>
      <w:r>
        <w:rPr>
          <w:bCs/>
          <w:sz w:val="24"/>
        </w:rPr>
        <w:t xml:space="preserve"> (“OSAH”)</w:t>
      </w:r>
      <w:r w:rsidRPr="00361B48">
        <w:rPr>
          <w:bCs/>
          <w:sz w:val="24"/>
        </w:rPr>
        <w:t xml:space="preserve">.  After considering all of the admissible evidence, the Respondent’s action is hereby </w:t>
      </w:r>
      <w:r>
        <w:rPr>
          <w:b/>
          <w:bCs/>
          <w:sz w:val="24"/>
        </w:rPr>
        <w:t>REVERS</w:t>
      </w:r>
      <w:r w:rsidRPr="00361B48">
        <w:rPr>
          <w:b/>
          <w:bCs/>
          <w:sz w:val="24"/>
        </w:rPr>
        <w:t>ED</w:t>
      </w:r>
      <w:r w:rsidRPr="00361B48">
        <w:rPr>
          <w:bCs/>
          <w:sz w:val="24"/>
        </w:rPr>
        <w:t xml:space="preserve">. </w:t>
      </w:r>
    </w:p>
    <w:p w:rsidR="009B16CF" w:rsidRPr="00361B48" w:rsidRDefault="009B16CF" w:rsidP="009B16CF">
      <w:pPr>
        <w:tabs>
          <w:tab w:val="center" w:pos="5400"/>
        </w:tabs>
        <w:jc w:val="both"/>
        <w:rPr>
          <w:sz w:val="24"/>
        </w:rPr>
      </w:pPr>
    </w:p>
    <w:p w:rsidR="009B16CF" w:rsidRPr="00361B48" w:rsidRDefault="009B16CF" w:rsidP="009B16CF">
      <w:pPr>
        <w:pStyle w:val="Heading1"/>
        <w:rPr>
          <w:sz w:val="24"/>
        </w:rPr>
      </w:pPr>
      <w:r w:rsidRPr="00361B48">
        <w:rPr>
          <w:sz w:val="24"/>
        </w:rPr>
        <w:t>II</w:t>
      </w:r>
      <w:proofErr w:type="gramStart"/>
      <w:r w:rsidRPr="00361B48">
        <w:rPr>
          <w:sz w:val="24"/>
        </w:rPr>
        <w:t>.  Findings</w:t>
      </w:r>
      <w:proofErr w:type="gramEnd"/>
      <w:r w:rsidRPr="00361B48">
        <w:rPr>
          <w:sz w:val="24"/>
        </w:rPr>
        <w:t xml:space="preserve"> of Fact</w:t>
      </w:r>
    </w:p>
    <w:p w:rsidR="009B16CF" w:rsidRPr="00361B48" w:rsidRDefault="009B16CF" w:rsidP="009B16CF">
      <w:pPr>
        <w:jc w:val="both"/>
        <w:rPr>
          <w:sz w:val="24"/>
        </w:rPr>
      </w:pPr>
    </w:p>
    <w:p w:rsidR="009B16CF" w:rsidRDefault="009B16CF" w:rsidP="009B16CF">
      <w:pPr>
        <w:pStyle w:val="BodyTextIndent2"/>
        <w:ind w:left="0"/>
        <w:jc w:val="center"/>
        <w:rPr>
          <w:sz w:val="24"/>
        </w:rPr>
      </w:pPr>
      <w:r>
        <w:rPr>
          <w:sz w:val="24"/>
        </w:rPr>
        <w:t>1.</w:t>
      </w:r>
    </w:p>
    <w:p w:rsidR="009B16CF" w:rsidRDefault="009B16CF" w:rsidP="009B16CF">
      <w:pPr>
        <w:pStyle w:val="BodyTextIndent2"/>
        <w:ind w:left="0"/>
        <w:jc w:val="center"/>
        <w:rPr>
          <w:sz w:val="24"/>
        </w:rPr>
      </w:pPr>
    </w:p>
    <w:p w:rsidR="009B16CF" w:rsidRDefault="009B16CF" w:rsidP="009B16CF">
      <w:pPr>
        <w:pStyle w:val="BodyTextIndent2"/>
        <w:ind w:left="0"/>
        <w:rPr>
          <w:sz w:val="24"/>
        </w:rPr>
      </w:pPr>
      <w:r>
        <w:rPr>
          <w:sz w:val="24"/>
        </w:rPr>
        <w:t xml:space="preserve">The </w:t>
      </w:r>
      <w:r w:rsidRPr="00361B48">
        <w:rPr>
          <w:sz w:val="24"/>
        </w:rPr>
        <w:t>Petitioner</w:t>
      </w:r>
      <w:r>
        <w:rPr>
          <w:sz w:val="24"/>
        </w:rPr>
        <w:t xml:space="preserve">, Theo Holt, has been hired as an employee of Care4All Children Services, a licensed child-placing agency.  </w:t>
      </w:r>
      <w:proofErr w:type="gramStart"/>
      <w:r>
        <w:rPr>
          <w:sz w:val="24"/>
        </w:rPr>
        <w:t>(Testimony of Petitioner; OSAH Form 1 and attachments.)</w:t>
      </w:r>
      <w:proofErr w:type="gramEnd"/>
    </w:p>
    <w:p w:rsidR="009B16CF" w:rsidRDefault="009B16CF" w:rsidP="009B16CF">
      <w:pPr>
        <w:pStyle w:val="BodyTextIndent2"/>
        <w:ind w:left="0"/>
        <w:rPr>
          <w:sz w:val="24"/>
        </w:rPr>
      </w:pPr>
    </w:p>
    <w:p w:rsidR="009B16CF" w:rsidRDefault="009B16CF" w:rsidP="009B16CF">
      <w:pPr>
        <w:pStyle w:val="BodyTextIndent2"/>
        <w:ind w:left="0"/>
        <w:jc w:val="center"/>
        <w:rPr>
          <w:sz w:val="24"/>
        </w:rPr>
      </w:pPr>
      <w:r>
        <w:rPr>
          <w:sz w:val="24"/>
        </w:rPr>
        <w:t>2.</w:t>
      </w:r>
    </w:p>
    <w:p w:rsidR="009B16CF" w:rsidRDefault="009B16CF" w:rsidP="009B16CF">
      <w:pPr>
        <w:pStyle w:val="BodyTextIndent2"/>
        <w:ind w:left="0"/>
        <w:rPr>
          <w:sz w:val="24"/>
        </w:rPr>
      </w:pPr>
    </w:p>
    <w:p w:rsidR="009B16CF" w:rsidRDefault="009B16CF" w:rsidP="009B16CF">
      <w:pPr>
        <w:pStyle w:val="BodyTextIndent2"/>
        <w:ind w:left="0"/>
        <w:rPr>
          <w:sz w:val="24"/>
        </w:rPr>
      </w:pPr>
      <w:r>
        <w:rPr>
          <w:sz w:val="24"/>
        </w:rPr>
        <w:t xml:space="preserve">The Petitioner submitted a preliminary criminal records check to the Respondent in conjunction with his application for clearance to become employed by a child-placing agency.  The Respondent notified the Petitioner in writing that his criminal records check was unsatisfactory.  </w:t>
      </w:r>
      <w:proofErr w:type="gramStart"/>
      <w:r>
        <w:rPr>
          <w:sz w:val="24"/>
        </w:rPr>
        <w:t>(OSAH Form 1 and attachments.)</w:t>
      </w:r>
      <w:proofErr w:type="gramEnd"/>
    </w:p>
    <w:p w:rsidR="009B16CF" w:rsidRDefault="009B16CF" w:rsidP="009B16CF">
      <w:pPr>
        <w:pStyle w:val="BodyTextIndent2"/>
        <w:ind w:left="0"/>
        <w:rPr>
          <w:sz w:val="24"/>
        </w:rPr>
      </w:pPr>
    </w:p>
    <w:p w:rsidR="009B16CF" w:rsidRPr="00361B48" w:rsidRDefault="009B16CF" w:rsidP="009B16CF">
      <w:pPr>
        <w:pStyle w:val="BodyTextIndent2"/>
        <w:ind w:left="0"/>
        <w:jc w:val="center"/>
        <w:rPr>
          <w:sz w:val="24"/>
        </w:rPr>
      </w:pPr>
      <w:r>
        <w:rPr>
          <w:sz w:val="24"/>
        </w:rPr>
        <w:t>3.</w:t>
      </w:r>
    </w:p>
    <w:p w:rsidR="009B16CF" w:rsidRPr="00361B48" w:rsidRDefault="009B16CF" w:rsidP="009B16CF">
      <w:pPr>
        <w:jc w:val="both"/>
        <w:rPr>
          <w:sz w:val="24"/>
        </w:rPr>
      </w:pPr>
    </w:p>
    <w:p w:rsidR="009B16CF" w:rsidRDefault="009B16CF" w:rsidP="009B16CF">
      <w:pPr>
        <w:jc w:val="both"/>
        <w:rPr>
          <w:sz w:val="24"/>
        </w:rPr>
      </w:pPr>
      <w:r>
        <w:rPr>
          <w:sz w:val="24"/>
        </w:rPr>
        <w:t xml:space="preserve">On August 23, 2010, in the District Court of Jefferson County, Texas, the Petitioner was sentenced under a deferred adjudication order for the felony offense of Possession of Marijuana.  The Petitioner was sentenced to five years of community supervision and ordered to complete a substance abuse assessment and 160 hours of community service work.  His community supervision is currently inactive, and he applied for early termination in December 2013.  The Petitioner’s crime did not cause physical harm to a victim.  </w:t>
      </w:r>
      <w:proofErr w:type="gramStart"/>
      <w:r>
        <w:rPr>
          <w:sz w:val="24"/>
        </w:rPr>
        <w:t>(Testimony of Petitioner; Exhibit R-1.)</w:t>
      </w:r>
      <w:proofErr w:type="gramEnd"/>
    </w:p>
    <w:p w:rsidR="009B16CF" w:rsidRDefault="009B16CF" w:rsidP="009B16CF">
      <w:pPr>
        <w:jc w:val="center"/>
        <w:rPr>
          <w:sz w:val="24"/>
        </w:rPr>
      </w:pPr>
      <w:r>
        <w:rPr>
          <w:sz w:val="24"/>
        </w:rPr>
        <w:t>4.</w:t>
      </w:r>
    </w:p>
    <w:p w:rsidR="009B16CF" w:rsidRDefault="009B16CF" w:rsidP="009B16CF">
      <w:pPr>
        <w:jc w:val="both"/>
        <w:rPr>
          <w:sz w:val="24"/>
        </w:rPr>
      </w:pPr>
    </w:p>
    <w:p w:rsidR="009B16CF" w:rsidRDefault="009B16CF" w:rsidP="009B16CF">
      <w:pPr>
        <w:jc w:val="both"/>
        <w:rPr>
          <w:sz w:val="24"/>
        </w:rPr>
      </w:pPr>
      <w:r>
        <w:rPr>
          <w:sz w:val="24"/>
        </w:rPr>
        <w:t xml:space="preserve">The Petitioner explained that his arrest occurred in June 2009, at a time when he was unemployed and having difficulty paying his bills.  A friend offered to pay the Petitioner, who lived in Louisiana, to drive him to Texas to pick up a quantity of marijuana.  However, the Petitioner was stopped for a traffic violation on the return trip, and police discovered thirty pounds of marijuana during a search of his vehicle.  At the hearing, the Petitioner expressed regret for his conduct, and stated that he had been unaware that his friend was in possession of such a large amount of marijuana.  He has had no further interaction with the criminal justice system.  </w:t>
      </w:r>
      <w:proofErr w:type="gramStart"/>
      <w:r>
        <w:rPr>
          <w:sz w:val="24"/>
        </w:rPr>
        <w:t>(Testimony of Petitioner.)</w:t>
      </w:r>
      <w:proofErr w:type="gramEnd"/>
      <w:r>
        <w:rPr>
          <w:sz w:val="24"/>
        </w:rPr>
        <w:t xml:space="preserve">  </w:t>
      </w:r>
    </w:p>
    <w:p w:rsidR="009B16CF" w:rsidRDefault="009B16CF" w:rsidP="009B16CF">
      <w:pPr>
        <w:jc w:val="both"/>
        <w:rPr>
          <w:sz w:val="24"/>
        </w:rPr>
      </w:pPr>
    </w:p>
    <w:p w:rsidR="009B16CF" w:rsidRDefault="009B16CF" w:rsidP="009B16CF">
      <w:pPr>
        <w:jc w:val="center"/>
        <w:rPr>
          <w:sz w:val="24"/>
        </w:rPr>
      </w:pPr>
      <w:r>
        <w:rPr>
          <w:sz w:val="24"/>
        </w:rPr>
        <w:t>5.</w:t>
      </w:r>
    </w:p>
    <w:p w:rsidR="009B16CF" w:rsidRDefault="009B16CF" w:rsidP="009B16CF">
      <w:pPr>
        <w:jc w:val="both"/>
        <w:rPr>
          <w:sz w:val="24"/>
        </w:rPr>
      </w:pPr>
    </w:p>
    <w:p w:rsidR="009B16CF" w:rsidRDefault="009B16CF" w:rsidP="009B16CF">
      <w:pPr>
        <w:jc w:val="both"/>
        <w:rPr>
          <w:sz w:val="24"/>
        </w:rPr>
      </w:pPr>
      <w:r>
        <w:rPr>
          <w:sz w:val="24"/>
        </w:rPr>
        <w:t xml:space="preserve">The Petitioner became certified as a special education teacher in 2010, and he spent three years teaching in Baton Rouge, Louisiana, before moving to Georgia in 2013.  He has been married since November 2013 to Stephanie Addison, a pediatrician.  Since moving to Georgia, he has also become certified as a personal trainer.   </w:t>
      </w:r>
      <w:proofErr w:type="gramStart"/>
      <w:r w:rsidRPr="00361B48">
        <w:rPr>
          <w:sz w:val="24"/>
        </w:rPr>
        <w:t xml:space="preserve">(Testimony of </w:t>
      </w:r>
      <w:r>
        <w:rPr>
          <w:sz w:val="24"/>
        </w:rPr>
        <w:t>Petitioner.)</w:t>
      </w:r>
      <w:proofErr w:type="gramEnd"/>
    </w:p>
    <w:p w:rsidR="009B16CF" w:rsidRDefault="009B16CF" w:rsidP="009B16CF">
      <w:pPr>
        <w:jc w:val="both"/>
        <w:rPr>
          <w:sz w:val="24"/>
        </w:rPr>
      </w:pPr>
    </w:p>
    <w:p w:rsidR="009B16CF" w:rsidRDefault="009B16CF" w:rsidP="009B16CF">
      <w:pPr>
        <w:jc w:val="center"/>
        <w:rPr>
          <w:sz w:val="24"/>
        </w:rPr>
      </w:pPr>
      <w:r>
        <w:rPr>
          <w:sz w:val="24"/>
        </w:rPr>
        <w:t>6.</w:t>
      </w:r>
    </w:p>
    <w:p w:rsidR="009B16CF" w:rsidRDefault="009B16CF" w:rsidP="009B16CF">
      <w:pPr>
        <w:jc w:val="center"/>
        <w:rPr>
          <w:sz w:val="24"/>
        </w:rPr>
      </w:pPr>
    </w:p>
    <w:p w:rsidR="009B16CF" w:rsidRDefault="009B16CF" w:rsidP="009B16CF">
      <w:pPr>
        <w:jc w:val="both"/>
        <w:rPr>
          <w:sz w:val="24"/>
        </w:rPr>
      </w:pPr>
      <w:r>
        <w:rPr>
          <w:sz w:val="24"/>
        </w:rPr>
        <w:t xml:space="preserve">Having examined the circumstances of the Petitioner’s criminal record, his character, and his employment and other history since the conviction, the undersigned finds that the Petitioner does not have a propensity for cruel behavior or behavior involving moral turpitude.  </w:t>
      </w:r>
    </w:p>
    <w:p w:rsidR="009B16CF" w:rsidRDefault="009B16CF" w:rsidP="009B16CF">
      <w:pPr>
        <w:jc w:val="both"/>
        <w:rPr>
          <w:sz w:val="24"/>
        </w:rPr>
      </w:pPr>
    </w:p>
    <w:p w:rsidR="009B16CF" w:rsidRPr="00361B48" w:rsidRDefault="009B16CF" w:rsidP="009B16CF">
      <w:pPr>
        <w:pStyle w:val="Heading1"/>
        <w:rPr>
          <w:sz w:val="24"/>
        </w:rPr>
      </w:pPr>
      <w:r w:rsidRPr="00361B48">
        <w:rPr>
          <w:sz w:val="24"/>
        </w:rPr>
        <w:t>III</w:t>
      </w:r>
      <w:proofErr w:type="gramStart"/>
      <w:r w:rsidRPr="00361B48">
        <w:rPr>
          <w:sz w:val="24"/>
        </w:rPr>
        <w:t>.  Conclusions</w:t>
      </w:r>
      <w:proofErr w:type="gramEnd"/>
      <w:r w:rsidRPr="00361B48">
        <w:rPr>
          <w:sz w:val="24"/>
        </w:rPr>
        <w:t xml:space="preserve"> of Law</w:t>
      </w:r>
    </w:p>
    <w:p w:rsidR="009B16CF" w:rsidRPr="00361B48" w:rsidRDefault="009B16CF" w:rsidP="009B16CF">
      <w:pPr>
        <w:tabs>
          <w:tab w:val="center" w:pos="4680"/>
        </w:tabs>
        <w:jc w:val="center"/>
        <w:rPr>
          <w:sz w:val="24"/>
        </w:rPr>
      </w:pPr>
    </w:p>
    <w:p w:rsidR="009B16CF" w:rsidRPr="00361B48" w:rsidRDefault="009B16CF" w:rsidP="009B16CF">
      <w:pPr>
        <w:tabs>
          <w:tab w:val="center" w:pos="4680"/>
        </w:tabs>
        <w:jc w:val="center"/>
        <w:rPr>
          <w:sz w:val="24"/>
        </w:rPr>
      </w:pPr>
      <w:r w:rsidRPr="00361B48">
        <w:rPr>
          <w:sz w:val="24"/>
        </w:rPr>
        <w:t>1.</w:t>
      </w:r>
    </w:p>
    <w:p w:rsidR="009B16CF" w:rsidRPr="00361B48" w:rsidRDefault="009B16CF" w:rsidP="009B16CF">
      <w:pPr>
        <w:pStyle w:val="BodyText"/>
        <w:rPr>
          <w:sz w:val="24"/>
          <w:szCs w:val="24"/>
        </w:rPr>
      </w:pPr>
    </w:p>
    <w:p w:rsidR="009B16CF" w:rsidRPr="00361B48" w:rsidRDefault="009B16CF" w:rsidP="009B16CF">
      <w:pPr>
        <w:pStyle w:val="BodyText"/>
        <w:rPr>
          <w:sz w:val="24"/>
          <w:szCs w:val="24"/>
        </w:rPr>
      </w:pPr>
      <w:r>
        <w:rPr>
          <w:sz w:val="24"/>
          <w:szCs w:val="24"/>
        </w:rPr>
        <w:t>The Respondent bear</w:t>
      </w:r>
      <w:r w:rsidRPr="00361B48">
        <w:rPr>
          <w:sz w:val="24"/>
          <w:szCs w:val="24"/>
        </w:rPr>
        <w:t xml:space="preserve">s the burden of proof in this matter.  </w:t>
      </w:r>
      <w:r w:rsidRPr="00BB035E">
        <w:rPr>
          <w:sz w:val="24"/>
          <w:szCs w:val="24"/>
          <w:lang w:val="es-ES"/>
        </w:rPr>
        <w:t>Ga. Comp. R</w:t>
      </w:r>
      <w:r>
        <w:rPr>
          <w:sz w:val="24"/>
          <w:szCs w:val="24"/>
          <w:lang w:val="es-ES"/>
        </w:rPr>
        <w:t xml:space="preserve">. &amp; </w:t>
      </w:r>
      <w:proofErr w:type="spellStart"/>
      <w:r>
        <w:rPr>
          <w:sz w:val="24"/>
          <w:szCs w:val="24"/>
          <w:lang w:val="es-ES"/>
        </w:rPr>
        <w:t>Regs</w:t>
      </w:r>
      <w:proofErr w:type="spellEnd"/>
      <w:r>
        <w:rPr>
          <w:sz w:val="24"/>
          <w:szCs w:val="24"/>
          <w:lang w:val="es-ES"/>
        </w:rPr>
        <w:t>. 616-1-2-.</w:t>
      </w:r>
      <w:proofErr w:type="gramStart"/>
      <w:r>
        <w:rPr>
          <w:sz w:val="24"/>
          <w:szCs w:val="24"/>
          <w:lang w:val="es-ES"/>
        </w:rPr>
        <w:t>7(</w:t>
      </w:r>
      <w:proofErr w:type="gramEnd"/>
      <w:r>
        <w:rPr>
          <w:sz w:val="24"/>
          <w:szCs w:val="24"/>
          <w:lang w:val="es-ES"/>
        </w:rPr>
        <w:t>1)</w:t>
      </w:r>
      <w:r w:rsidRPr="00BB035E">
        <w:rPr>
          <w:sz w:val="24"/>
          <w:szCs w:val="24"/>
          <w:lang w:val="es-ES"/>
        </w:rPr>
        <w:t>.</w:t>
      </w:r>
      <w:r>
        <w:rPr>
          <w:sz w:val="24"/>
          <w:szCs w:val="24"/>
          <w:lang w:val="es-ES"/>
        </w:rPr>
        <w:t xml:space="preserve">  </w:t>
      </w:r>
      <w:r w:rsidRPr="00361B48">
        <w:rPr>
          <w:sz w:val="24"/>
          <w:szCs w:val="24"/>
        </w:rPr>
        <w:t xml:space="preserve">The </w:t>
      </w:r>
      <w:r>
        <w:rPr>
          <w:sz w:val="24"/>
          <w:szCs w:val="24"/>
        </w:rPr>
        <w:t>burden of proof is a preponderance of the evidence</w:t>
      </w:r>
      <w:r w:rsidRPr="00361B48">
        <w:rPr>
          <w:sz w:val="24"/>
          <w:szCs w:val="24"/>
        </w:rPr>
        <w:t xml:space="preserve">.  </w:t>
      </w:r>
      <w:proofErr w:type="gramStart"/>
      <w:r w:rsidRPr="009C34CF">
        <w:rPr>
          <w:sz w:val="24"/>
          <w:szCs w:val="24"/>
        </w:rPr>
        <w:t xml:space="preserve">Ga. Comp. R. &amp; </w:t>
      </w:r>
      <w:proofErr w:type="spellStart"/>
      <w:r w:rsidRPr="009C34CF">
        <w:rPr>
          <w:sz w:val="24"/>
          <w:szCs w:val="24"/>
        </w:rPr>
        <w:t>Regs</w:t>
      </w:r>
      <w:proofErr w:type="spellEnd"/>
      <w:r w:rsidRPr="009C34CF">
        <w:rPr>
          <w:sz w:val="24"/>
          <w:szCs w:val="24"/>
        </w:rPr>
        <w:t>.</w:t>
      </w:r>
      <w:proofErr w:type="gramEnd"/>
      <w:r w:rsidRPr="009C34CF">
        <w:rPr>
          <w:sz w:val="24"/>
          <w:szCs w:val="24"/>
        </w:rPr>
        <w:t xml:space="preserve"> </w:t>
      </w:r>
      <w:proofErr w:type="gramStart"/>
      <w:r w:rsidRPr="009C34CF">
        <w:rPr>
          <w:sz w:val="24"/>
          <w:szCs w:val="24"/>
        </w:rPr>
        <w:t>616-1-2-.</w:t>
      </w:r>
      <w:r w:rsidRPr="00361B48">
        <w:rPr>
          <w:sz w:val="24"/>
          <w:szCs w:val="24"/>
        </w:rPr>
        <w:t>21(4).</w:t>
      </w:r>
      <w:proofErr w:type="gramEnd"/>
    </w:p>
    <w:p w:rsidR="009B16CF" w:rsidRPr="00361B48" w:rsidRDefault="009B16CF" w:rsidP="009B16CF">
      <w:pPr>
        <w:jc w:val="both"/>
        <w:rPr>
          <w:sz w:val="24"/>
        </w:rPr>
      </w:pPr>
    </w:p>
    <w:p w:rsidR="009B16CF" w:rsidRPr="00361B48" w:rsidRDefault="009B16CF" w:rsidP="009B16CF">
      <w:pPr>
        <w:tabs>
          <w:tab w:val="center" w:pos="4680"/>
        </w:tabs>
        <w:jc w:val="center"/>
        <w:rPr>
          <w:sz w:val="24"/>
        </w:rPr>
      </w:pPr>
      <w:r w:rsidRPr="00361B48">
        <w:rPr>
          <w:sz w:val="24"/>
        </w:rPr>
        <w:t>2.</w:t>
      </w:r>
    </w:p>
    <w:p w:rsidR="009B16CF" w:rsidRPr="00361B48" w:rsidRDefault="009B16CF" w:rsidP="009B16CF">
      <w:pPr>
        <w:jc w:val="both"/>
        <w:rPr>
          <w:sz w:val="24"/>
        </w:rPr>
      </w:pPr>
    </w:p>
    <w:p w:rsidR="009B16CF" w:rsidRPr="00BB035E" w:rsidRDefault="009B16CF" w:rsidP="009B16CF">
      <w:pPr>
        <w:jc w:val="both"/>
        <w:rPr>
          <w:sz w:val="24"/>
        </w:rPr>
      </w:pPr>
      <w:r>
        <w:rPr>
          <w:sz w:val="24"/>
        </w:rPr>
        <w:t xml:space="preserve">Under Georgia law, all potential employees or directors of child-placing agencies are required to submit to a criminal records check.  </w:t>
      </w:r>
      <w:proofErr w:type="gramStart"/>
      <w:r>
        <w:rPr>
          <w:sz w:val="24"/>
        </w:rPr>
        <w:t>O.C.G.A. § 49-5-69(a).</w:t>
      </w:r>
      <w:proofErr w:type="gramEnd"/>
      <w:r>
        <w:rPr>
          <w:sz w:val="24"/>
        </w:rPr>
        <w:t xml:space="preserve">  </w:t>
      </w:r>
      <w:r>
        <w:rPr>
          <w:sz w:val="24"/>
          <w:u w:val="single"/>
        </w:rPr>
        <w:t>See</w:t>
      </w:r>
      <w:r>
        <w:rPr>
          <w:sz w:val="24"/>
        </w:rPr>
        <w:t xml:space="preserve"> O.C.G.A. §§ 49-5-60(1), 49-5-12(a); Ga. Comp. R. &amp; </w:t>
      </w:r>
      <w:proofErr w:type="spellStart"/>
      <w:r>
        <w:rPr>
          <w:sz w:val="24"/>
        </w:rPr>
        <w:t>Regs</w:t>
      </w:r>
      <w:proofErr w:type="spellEnd"/>
      <w:r>
        <w:rPr>
          <w:sz w:val="24"/>
        </w:rPr>
        <w:t>. 290-9-2-.04(4</w:t>
      </w:r>
      <w:proofErr w:type="gramStart"/>
      <w:r>
        <w:rPr>
          <w:sz w:val="24"/>
        </w:rPr>
        <w:t>)(</w:t>
      </w:r>
      <w:proofErr w:type="gramEnd"/>
      <w:r>
        <w:rPr>
          <w:sz w:val="24"/>
        </w:rPr>
        <w:t>b).</w:t>
      </w:r>
    </w:p>
    <w:p w:rsidR="009B16CF" w:rsidRPr="00361B48" w:rsidRDefault="009B16CF" w:rsidP="009B16CF">
      <w:pPr>
        <w:jc w:val="both"/>
        <w:rPr>
          <w:sz w:val="24"/>
        </w:rPr>
      </w:pPr>
    </w:p>
    <w:p w:rsidR="009B16CF" w:rsidRPr="00361B48" w:rsidRDefault="009B16CF" w:rsidP="009B16CF">
      <w:pPr>
        <w:jc w:val="center"/>
        <w:rPr>
          <w:sz w:val="24"/>
        </w:rPr>
      </w:pPr>
      <w:r w:rsidRPr="00361B48">
        <w:rPr>
          <w:sz w:val="24"/>
        </w:rPr>
        <w:t>3.</w:t>
      </w:r>
    </w:p>
    <w:p w:rsidR="009B16CF" w:rsidRPr="00EF5E37" w:rsidRDefault="009B16CF" w:rsidP="009B16CF">
      <w:pPr>
        <w:jc w:val="center"/>
        <w:rPr>
          <w:sz w:val="24"/>
        </w:rPr>
      </w:pPr>
    </w:p>
    <w:p w:rsidR="009B16CF" w:rsidRDefault="009B16CF" w:rsidP="009B16CF">
      <w:pPr>
        <w:pStyle w:val="BodyText"/>
        <w:rPr>
          <w:sz w:val="24"/>
          <w:szCs w:val="24"/>
        </w:rPr>
      </w:pPr>
      <w:r>
        <w:rPr>
          <w:sz w:val="24"/>
          <w:szCs w:val="24"/>
        </w:rPr>
        <w:t xml:space="preserve">A potential employee with a criminal record based on a felony or other enumerated offense may not be hired unless the criminal record is deemed satisfactory by the Respondent or an administrative law judge.  </w:t>
      </w:r>
      <w:proofErr w:type="gramStart"/>
      <w:r>
        <w:rPr>
          <w:sz w:val="24"/>
          <w:szCs w:val="24"/>
        </w:rPr>
        <w:t xml:space="preserve">O.C.G.A. §§ 49-5-60(3)-(4), 49-5-69(a), 49-5-73; Ga. Comp. R. &amp; </w:t>
      </w:r>
      <w:proofErr w:type="spellStart"/>
      <w:r>
        <w:rPr>
          <w:sz w:val="24"/>
          <w:szCs w:val="24"/>
        </w:rPr>
        <w:t>Regs</w:t>
      </w:r>
      <w:proofErr w:type="spellEnd"/>
      <w:r>
        <w:rPr>
          <w:sz w:val="24"/>
          <w:szCs w:val="24"/>
        </w:rPr>
        <w:t>.</w:t>
      </w:r>
      <w:proofErr w:type="gramEnd"/>
      <w:r>
        <w:rPr>
          <w:sz w:val="24"/>
          <w:szCs w:val="24"/>
        </w:rPr>
        <w:t xml:space="preserve"> 290-9-2-.04(4</w:t>
      </w:r>
      <w:proofErr w:type="gramStart"/>
      <w:r>
        <w:rPr>
          <w:sz w:val="24"/>
          <w:szCs w:val="24"/>
        </w:rPr>
        <w:t>)(</w:t>
      </w:r>
      <w:proofErr w:type="gramEnd"/>
      <w:r>
        <w:rPr>
          <w:sz w:val="24"/>
          <w:szCs w:val="24"/>
        </w:rPr>
        <w:t>b)-(c). The term “criminal record” is defined by statute as:</w:t>
      </w:r>
    </w:p>
    <w:p w:rsidR="009B16CF" w:rsidRDefault="009B16CF" w:rsidP="009B16CF">
      <w:pPr>
        <w:pStyle w:val="BodyText"/>
        <w:rPr>
          <w:sz w:val="24"/>
          <w:szCs w:val="24"/>
        </w:rPr>
      </w:pPr>
    </w:p>
    <w:p w:rsidR="009B16CF" w:rsidRDefault="00E22C23" w:rsidP="009B16CF">
      <w:pPr>
        <w:pStyle w:val="BodyText"/>
        <w:numPr>
          <w:ilvl w:val="0"/>
          <w:numId w:val="9"/>
        </w:numPr>
        <w:ind w:right="720"/>
        <w:rPr>
          <w:sz w:val="24"/>
          <w:szCs w:val="24"/>
        </w:rPr>
      </w:pPr>
      <w:r>
        <w:rPr>
          <w:sz w:val="24"/>
          <w:szCs w:val="24"/>
        </w:rPr>
        <w:br w:type="page"/>
      </w:r>
      <w:r w:rsidR="009B16CF">
        <w:rPr>
          <w:sz w:val="24"/>
          <w:szCs w:val="24"/>
        </w:rPr>
        <w:lastRenderedPageBreak/>
        <w:t>Conviction of a crime;</w:t>
      </w:r>
      <w:r w:rsidR="009B16CF" w:rsidRPr="00E26FC0">
        <w:rPr>
          <w:rStyle w:val="FootnoteReference"/>
          <w:sz w:val="24"/>
          <w:szCs w:val="24"/>
          <w:vertAlign w:val="superscript"/>
        </w:rPr>
        <w:footnoteReference w:id="2"/>
      </w:r>
    </w:p>
    <w:p w:rsidR="00E22C23" w:rsidRDefault="00E22C23" w:rsidP="00E22C23">
      <w:pPr>
        <w:pStyle w:val="BodyText"/>
        <w:ind w:left="1080" w:right="720"/>
        <w:rPr>
          <w:sz w:val="24"/>
          <w:szCs w:val="24"/>
        </w:rPr>
      </w:pPr>
    </w:p>
    <w:p w:rsidR="009B16CF" w:rsidRDefault="009B16CF" w:rsidP="009B16CF">
      <w:pPr>
        <w:pStyle w:val="BodyText"/>
        <w:numPr>
          <w:ilvl w:val="0"/>
          <w:numId w:val="9"/>
        </w:numPr>
        <w:ind w:right="720"/>
        <w:rPr>
          <w:sz w:val="24"/>
          <w:szCs w:val="24"/>
        </w:rPr>
      </w:pPr>
      <w:r w:rsidRPr="00837FA4">
        <w:rPr>
          <w:sz w:val="24"/>
          <w:szCs w:val="24"/>
        </w:rPr>
        <w:t>Arrest, charge, and sentencing for a crime where:</w:t>
      </w:r>
    </w:p>
    <w:p w:rsidR="009B16CF" w:rsidRPr="00837FA4" w:rsidRDefault="009B16CF" w:rsidP="009B16CF">
      <w:pPr>
        <w:pStyle w:val="BodyText"/>
        <w:ind w:right="720"/>
        <w:rPr>
          <w:sz w:val="24"/>
          <w:szCs w:val="24"/>
        </w:rPr>
      </w:pPr>
    </w:p>
    <w:p w:rsidR="009B16CF" w:rsidRDefault="009B16CF" w:rsidP="009B16CF">
      <w:pPr>
        <w:pStyle w:val="BodyText"/>
        <w:numPr>
          <w:ilvl w:val="0"/>
          <w:numId w:val="8"/>
        </w:numPr>
        <w:ind w:right="720"/>
        <w:rPr>
          <w:sz w:val="24"/>
          <w:szCs w:val="24"/>
        </w:rPr>
      </w:pPr>
      <w:r w:rsidRPr="00837FA4">
        <w:rPr>
          <w:sz w:val="24"/>
          <w:szCs w:val="24"/>
        </w:rPr>
        <w:t>A plea of nolo contende</w:t>
      </w:r>
      <w:r>
        <w:rPr>
          <w:sz w:val="24"/>
          <w:szCs w:val="24"/>
        </w:rPr>
        <w:t>re was entered to the charge;</w:t>
      </w:r>
    </w:p>
    <w:p w:rsidR="009B16CF" w:rsidRPr="00837FA4" w:rsidRDefault="009B16CF" w:rsidP="009B16CF">
      <w:pPr>
        <w:pStyle w:val="BodyText"/>
        <w:ind w:left="2160" w:right="720"/>
        <w:rPr>
          <w:sz w:val="24"/>
          <w:szCs w:val="24"/>
        </w:rPr>
      </w:pPr>
    </w:p>
    <w:p w:rsidR="009B16CF" w:rsidRPr="00101DA4" w:rsidRDefault="009B16CF" w:rsidP="009B16CF">
      <w:pPr>
        <w:pStyle w:val="BodyText"/>
        <w:ind w:left="2160" w:right="720" w:hanging="720"/>
        <w:rPr>
          <w:sz w:val="24"/>
          <w:szCs w:val="24"/>
        </w:rPr>
      </w:pPr>
      <w:r w:rsidRPr="00101DA4">
        <w:rPr>
          <w:sz w:val="24"/>
          <w:szCs w:val="24"/>
        </w:rPr>
        <w:t xml:space="preserve">(ii) </w:t>
      </w:r>
      <w:r>
        <w:rPr>
          <w:sz w:val="24"/>
          <w:szCs w:val="24"/>
        </w:rPr>
        <w:tab/>
      </w:r>
      <w:r w:rsidRPr="00101DA4">
        <w:rPr>
          <w:sz w:val="24"/>
          <w:szCs w:val="24"/>
        </w:rPr>
        <w:t>First offender treatment without adjudication of guilt pursuant to the charge was granted; provided, however, that this division shall not apply to a violation of Chapter 13 of Title 16, relating to controlled substances, or any other offense committed in another jurisdiction which, if it were committed in this state, would be a violation of Chapter 13 of Title 16 if such violation or offense constituted only simple possession; or</w:t>
      </w:r>
    </w:p>
    <w:p w:rsidR="009B16CF" w:rsidRPr="00101DA4" w:rsidRDefault="009B16CF" w:rsidP="009B16CF">
      <w:pPr>
        <w:pStyle w:val="BodyText"/>
        <w:ind w:left="2160" w:right="720"/>
        <w:rPr>
          <w:sz w:val="24"/>
          <w:szCs w:val="24"/>
        </w:rPr>
      </w:pPr>
    </w:p>
    <w:p w:rsidR="009B16CF" w:rsidRPr="00101DA4" w:rsidRDefault="009B16CF" w:rsidP="009B16CF">
      <w:pPr>
        <w:pStyle w:val="BodyText"/>
        <w:ind w:left="2160" w:right="720" w:hanging="720"/>
        <w:rPr>
          <w:sz w:val="24"/>
          <w:szCs w:val="24"/>
        </w:rPr>
      </w:pPr>
      <w:r w:rsidRPr="00101DA4">
        <w:rPr>
          <w:sz w:val="24"/>
          <w:szCs w:val="24"/>
        </w:rPr>
        <w:t xml:space="preserve">(iii) </w:t>
      </w:r>
      <w:r>
        <w:rPr>
          <w:sz w:val="24"/>
          <w:szCs w:val="24"/>
        </w:rPr>
        <w:tab/>
      </w:r>
      <w:r w:rsidRPr="00101DA4">
        <w:rPr>
          <w:sz w:val="24"/>
          <w:szCs w:val="24"/>
        </w:rPr>
        <w:t>Adjudication or sentence was otherwise withheld or not entered on the charge; provided, however, that this division shall not apply to a violation of Chapter 13 of Title 16, relating to controlled substances, or any other offense committed in another jurisdiction which, if it were committed in this state, would be a violation of Chapter 13 of Title 16 if such violation or offense constituted only simple possession; or</w:t>
      </w:r>
    </w:p>
    <w:p w:rsidR="009B16CF" w:rsidRPr="00101DA4" w:rsidRDefault="009B16CF" w:rsidP="009B16CF">
      <w:pPr>
        <w:pStyle w:val="BodyText"/>
        <w:ind w:left="2160" w:right="720"/>
        <w:rPr>
          <w:sz w:val="24"/>
          <w:szCs w:val="24"/>
        </w:rPr>
      </w:pPr>
    </w:p>
    <w:p w:rsidR="009B16CF" w:rsidRDefault="009B16CF" w:rsidP="009B16CF">
      <w:pPr>
        <w:pStyle w:val="BodyText"/>
        <w:widowControl/>
        <w:numPr>
          <w:ilvl w:val="0"/>
          <w:numId w:val="9"/>
        </w:numPr>
        <w:ind w:left="1440" w:right="720" w:hanging="720"/>
        <w:rPr>
          <w:sz w:val="24"/>
          <w:szCs w:val="24"/>
        </w:rPr>
      </w:pPr>
      <w:r w:rsidRPr="00837FA4">
        <w:rPr>
          <w:sz w:val="24"/>
          <w:szCs w:val="24"/>
        </w:rPr>
        <w:t>Arrest and being charged for a crime if the charge is pending, unless the time for</w:t>
      </w:r>
      <w:r>
        <w:rPr>
          <w:sz w:val="24"/>
          <w:szCs w:val="24"/>
        </w:rPr>
        <w:t xml:space="preserve"> </w:t>
      </w:r>
      <w:r w:rsidRPr="00837FA4">
        <w:rPr>
          <w:sz w:val="24"/>
          <w:szCs w:val="24"/>
        </w:rPr>
        <w:t xml:space="preserve">prosecuting such crime has expired pursuant to </w:t>
      </w:r>
      <w:r>
        <w:rPr>
          <w:sz w:val="24"/>
          <w:szCs w:val="24"/>
        </w:rPr>
        <w:t>Chapter 3 of Title 17</w:t>
      </w:r>
      <w:r w:rsidRPr="00837FA4">
        <w:rPr>
          <w:sz w:val="24"/>
          <w:szCs w:val="24"/>
        </w:rPr>
        <w:t>.</w:t>
      </w:r>
    </w:p>
    <w:p w:rsidR="009B16CF" w:rsidRDefault="009B16CF" w:rsidP="009B16CF">
      <w:pPr>
        <w:pStyle w:val="ColorfulList-Accent11"/>
        <w:rPr>
          <w:sz w:val="24"/>
        </w:rPr>
      </w:pPr>
    </w:p>
    <w:p w:rsidR="009B16CF" w:rsidRDefault="009B16CF" w:rsidP="009B16CF">
      <w:pPr>
        <w:pStyle w:val="BodyText"/>
        <w:ind w:right="720"/>
        <w:rPr>
          <w:sz w:val="24"/>
          <w:szCs w:val="24"/>
        </w:rPr>
      </w:pPr>
      <w:r>
        <w:rPr>
          <w:sz w:val="24"/>
          <w:szCs w:val="24"/>
        </w:rPr>
        <w:t xml:space="preserve">O.C.G.A. § 49-5-60(4); </w:t>
      </w:r>
      <w:r>
        <w:rPr>
          <w:sz w:val="24"/>
          <w:szCs w:val="24"/>
          <w:u w:val="single"/>
        </w:rPr>
        <w:t xml:space="preserve">see </w:t>
      </w:r>
      <w:r w:rsidRPr="00B97CF0">
        <w:rPr>
          <w:sz w:val="24"/>
          <w:szCs w:val="24"/>
          <w:u w:val="single"/>
        </w:rPr>
        <w:t>also</w:t>
      </w:r>
      <w:r>
        <w:rPr>
          <w:sz w:val="24"/>
          <w:szCs w:val="24"/>
        </w:rPr>
        <w:t xml:space="preserve"> </w:t>
      </w:r>
      <w:r w:rsidRPr="00B97CF0">
        <w:rPr>
          <w:sz w:val="24"/>
          <w:szCs w:val="24"/>
        </w:rPr>
        <w:t>Ga</w:t>
      </w:r>
      <w:r>
        <w:rPr>
          <w:sz w:val="24"/>
          <w:szCs w:val="24"/>
        </w:rPr>
        <w:t xml:space="preserve">. Comp. R. &amp; </w:t>
      </w:r>
      <w:proofErr w:type="spellStart"/>
      <w:r>
        <w:rPr>
          <w:sz w:val="24"/>
          <w:szCs w:val="24"/>
        </w:rPr>
        <w:t>Regs</w:t>
      </w:r>
      <w:proofErr w:type="spellEnd"/>
      <w:r>
        <w:rPr>
          <w:sz w:val="24"/>
          <w:szCs w:val="24"/>
        </w:rPr>
        <w:t xml:space="preserve">. </w:t>
      </w:r>
      <w:proofErr w:type="gramStart"/>
      <w:r>
        <w:rPr>
          <w:sz w:val="24"/>
          <w:szCs w:val="24"/>
        </w:rPr>
        <w:t>290-9-2-.01(l).</w:t>
      </w:r>
      <w:proofErr w:type="gramEnd"/>
    </w:p>
    <w:p w:rsidR="009B16CF" w:rsidRPr="00EF5E37" w:rsidRDefault="009B16CF" w:rsidP="009B16CF">
      <w:pPr>
        <w:pStyle w:val="BodyText"/>
        <w:rPr>
          <w:sz w:val="24"/>
          <w:szCs w:val="24"/>
        </w:rPr>
      </w:pPr>
    </w:p>
    <w:p w:rsidR="009B16CF" w:rsidRDefault="009B16CF" w:rsidP="009B16CF">
      <w:pPr>
        <w:pStyle w:val="BodyText"/>
        <w:jc w:val="center"/>
        <w:rPr>
          <w:sz w:val="24"/>
          <w:szCs w:val="24"/>
        </w:rPr>
      </w:pPr>
      <w:r w:rsidRPr="006C73DF">
        <w:rPr>
          <w:sz w:val="24"/>
          <w:szCs w:val="24"/>
        </w:rPr>
        <w:t>4.</w:t>
      </w:r>
    </w:p>
    <w:p w:rsidR="009B16CF" w:rsidRDefault="009B16CF" w:rsidP="009B16CF">
      <w:pPr>
        <w:pStyle w:val="BodyText"/>
        <w:jc w:val="center"/>
        <w:rPr>
          <w:sz w:val="24"/>
          <w:szCs w:val="24"/>
        </w:rPr>
      </w:pPr>
    </w:p>
    <w:p w:rsidR="009B16CF" w:rsidRDefault="009B16CF" w:rsidP="009B16CF">
      <w:pPr>
        <w:pStyle w:val="BodyText"/>
        <w:rPr>
          <w:sz w:val="24"/>
          <w:szCs w:val="24"/>
        </w:rPr>
      </w:pPr>
      <w:r>
        <w:rPr>
          <w:sz w:val="24"/>
          <w:szCs w:val="24"/>
        </w:rPr>
        <w:t xml:space="preserve">Pursuant to O.C.G.A. § 49-5-73, “upon motion from any party, the [administrative law judge] may, in [her] discretion, consider matters in mitigation of any conviction, provided the [administrative law judge] examines the circumstances of the case and makes an independent finding that no physical harm was done to a victim and also examines the character and employment history since the conviction and determines that there is no propensity for cruel behavior or behavior involving moral turpitude . . . .”  </w:t>
      </w:r>
      <w:r>
        <w:rPr>
          <w:sz w:val="24"/>
          <w:szCs w:val="24"/>
          <w:u w:val="single"/>
        </w:rPr>
        <w:t>See</w:t>
      </w:r>
      <w:r>
        <w:rPr>
          <w:sz w:val="24"/>
          <w:szCs w:val="24"/>
        </w:rPr>
        <w:t xml:space="preserve"> O.C.G.A. § 49-5-69(a).</w:t>
      </w:r>
    </w:p>
    <w:p w:rsidR="009B16CF" w:rsidRDefault="009B16CF" w:rsidP="009B16CF">
      <w:pPr>
        <w:pStyle w:val="BodyText"/>
        <w:rPr>
          <w:sz w:val="24"/>
          <w:szCs w:val="24"/>
        </w:rPr>
      </w:pPr>
    </w:p>
    <w:p w:rsidR="009B16CF" w:rsidRPr="00947BC2" w:rsidRDefault="009B16CF" w:rsidP="009B16CF">
      <w:pPr>
        <w:pStyle w:val="BodyText"/>
        <w:jc w:val="center"/>
        <w:rPr>
          <w:sz w:val="24"/>
          <w:szCs w:val="24"/>
        </w:rPr>
      </w:pPr>
      <w:r>
        <w:rPr>
          <w:sz w:val="24"/>
          <w:szCs w:val="24"/>
        </w:rPr>
        <w:t>5.</w:t>
      </w:r>
    </w:p>
    <w:p w:rsidR="009B16CF" w:rsidRDefault="009B16CF" w:rsidP="009B16CF">
      <w:pPr>
        <w:pStyle w:val="BodyText"/>
      </w:pPr>
    </w:p>
    <w:p w:rsidR="00E22C23" w:rsidRDefault="009B16CF" w:rsidP="00E22C23">
      <w:pPr>
        <w:pStyle w:val="BodyText"/>
        <w:widowControl/>
        <w:rPr>
          <w:sz w:val="24"/>
          <w:szCs w:val="24"/>
        </w:rPr>
      </w:pPr>
      <w:r>
        <w:rPr>
          <w:sz w:val="24"/>
          <w:szCs w:val="24"/>
        </w:rPr>
        <w:t xml:space="preserve">In this case, the Petitioner was arrested, charged, and sentenced on one count of the covered offense of Possession of Marijuana.  </w:t>
      </w:r>
      <w:r>
        <w:rPr>
          <w:sz w:val="24"/>
          <w:szCs w:val="24"/>
          <w:u w:val="single"/>
        </w:rPr>
        <w:t>See</w:t>
      </w:r>
      <w:r>
        <w:rPr>
          <w:sz w:val="24"/>
          <w:szCs w:val="24"/>
        </w:rPr>
        <w:t xml:space="preserve"> O.C.G.A. § 49-5-60(4</w:t>
      </w:r>
      <w:proofErr w:type="gramStart"/>
      <w:r>
        <w:rPr>
          <w:sz w:val="24"/>
          <w:szCs w:val="24"/>
        </w:rPr>
        <w:t>)(</w:t>
      </w:r>
      <w:proofErr w:type="gramEnd"/>
      <w:r>
        <w:rPr>
          <w:sz w:val="24"/>
          <w:szCs w:val="24"/>
        </w:rPr>
        <w:t>B)(iii).  This offense is a “crime” within the meaning of O.C.G.A. § 49-5-60(4</w:t>
      </w:r>
      <w:proofErr w:type="gramStart"/>
      <w:r>
        <w:rPr>
          <w:sz w:val="24"/>
          <w:szCs w:val="24"/>
        </w:rPr>
        <w:t>)(</w:t>
      </w:r>
      <w:proofErr w:type="gramEnd"/>
      <w:r>
        <w:rPr>
          <w:sz w:val="24"/>
          <w:szCs w:val="24"/>
        </w:rPr>
        <w:t>B), as it</w:t>
      </w:r>
      <w:r w:rsidRPr="00664947">
        <w:rPr>
          <w:sz w:val="24"/>
          <w:szCs w:val="24"/>
        </w:rPr>
        <w:t xml:space="preserve"> </w:t>
      </w:r>
      <w:r>
        <w:rPr>
          <w:sz w:val="24"/>
          <w:szCs w:val="24"/>
        </w:rPr>
        <w:t xml:space="preserve">would be a felony if committed in </w:t>
      </w:r>
      <w:r>
        <w:rPr>
          <w:sz w:val="24"/>
          <w:szCs w:val="24"/>
        </w:rPr>
        <w:lastRenderedPageBreak/>
        <w:t xml:space="preserve">Georgia, and it does not constitute simple possession due to the quantity of marijuana involved.  O.C.G.A. § 16-13-30(j); </w:t>
      </w:r>
      <w:r>
        <w:rPr>
          <w:sz w:val="24"/>
          <w:szCs w:val="24"/>
          <w:u w:val="single"/>
        </w:rPr>
        <w:t>cf.</w:t>
      </w:r>
      <w:r>
        <w:rPr>
          <w:sz w:val="24"/>
          <w:szCs w:val="24"/>
        </w:rPr>
        <w:t xml:space="preserve"> O.C.G.A. §§ 16-13-31(c), 16-13-2(b). Thus, absent mitigation, the Petitioner has a criminal record that would disqualify him from employment at a child-placing agency.  </w:t>
      </w:r>
      <w:proofErr w:type="gramStart"/>
      <w:r>
        <w:rPr>
          <w:sz w:val="24"/>
          <w:szCs w:val="24"/>
        </w:rPr>
        <w:t xml:space="preserve">O.C.G.A. §§ 49-5-60(3)-(4), 49-5-69(a), 49-5-73; Ga. Comp. R. &amp; </w:t>
      </w:r>
      <w:proofErr w:type="spellStart"/>
      <w:r>
        <w:rPr>
          <w:sz w:val="24"/>
          <w:szCs w:val="24"/>
        </w:rPr>
        <w:t>Regs</w:t>
      </w:r>
      <w:proofErr w:type="spellEnd"/>
      <w:r>
        <w:rPr>
          <w:sz w:val="24"/>
          <w:szCs w:val="24"/>
        </w:rPr>
        <w:t>.</w:t>
      </w:r>
      <w:proofErr w:type="gramEnd"/>
      <w:r>
        <w:rPr>
          <w:sz w:val="24"/>
          <w:szCs w:val="24"/>
        </w:rPr>
        <w:t xml:space="preserve"> 290-9-2-.04(4</w:t>
      </w:r>
      <w:proofErr w:type="gramStart"/>
      <w:r>
        <w:rPr>
          <w:sz w:val="24"/>
          <w:szCs w:val="24"/>
        </w:rPr>
        <w:t>)(</w:t>
      </w:r>
      <w:proofErr w:type="gramEnd"/>
      <w:r>
        <w:rPr>
          <w:sz w:val="24"/>
          <w:szCs w:val="24"/>
        </w:rPr>
        <w:t>b)-(c)</w:t>
      </w:r>
      <w:r w:rsidR="00E22C23">
        <w:rPr>
          <w:sz w:val="24"/>
          <w:szCs w:val="24"/>
        </w:rPr>
        <w:t>.</w:t>
      </w:r>
    </w:p>
    <w:p w:rsidR="00E22C23" w:rsidRDefault="00E22C23" w:rsidP="009B16CF">
      <w:pPr>
        <w:pStyle w:val="BodyText"/>
        <w:widowControl/>
        <w:jc w:val="center"/>
        <w:rPr>
          <w:sz w:val="24"/>
          <w:szCs w:val="24"/>
        </w:rPr>
      </w:pPr>
    </w:p>
    <w:p w:rsidR="009B16CF" w:rsidRDefault="009B16CF" w:rsidP="009B16CF">
      <w:pPr>
        <w:pStyle w:val="BodyText"/>
        <w:widowControl/>
        <w:jc w:val="center"/>
        <w:rPr>
          <w:sz w:val="24"/>
          <w:szCs w:val="24"/>
        </w:rPr>
      </w:pPr>
      <w:r>
        <w:rPr>
          <w:sz w:val="24"/>
          <w:szCs w:val="24"/>
        </w:rPr>
        <w:t>6.</w:t>
      </w:r>
    </w:p>
    <w:p w:rsidR="009B16CF" w:rsidRDefault="009B16CF" w:rsidP="009B16CF">
      <w:pPr>
        <w:pStyle w:val="BodyText"/>
        <w:widowControl/>
        <w:jc w:val="center"/>
        <w:rPr>
          <w:sz w:val="24"/>
          <w:szCs w:val="24"/>
        </w:rPr>
      </w:pPr>
    </w:p>
    <w:p w:rsidR="009B16CF" w:rsidRDefault="009B16CF" w:rsidP="009B16CF">
      <w:pPr>
        <w:pStyle w:val="BodyText"/>
        <w:widowControl/>
        <w:rPr>
          <w:sz w:val="24"/>
        </w:rPr>
      </w:pPr>
      <w:r>
        <w:rPr>
          <w:sz w:val="24"/>
          <w:szCs w:val="24"/>
        </w:rPr>
        <w:t xml:space="preserve">The Petitioner’s offense, however, occurred nearly five years ago and caused </w:t>
      </w:r>
      <w:r>
        <w:rPr>
          <w:sz w:val="24"/>
        </w:rPr>
        <w:t>no physical harm to a victim</w:t>
      </w:r>
      <w:r>
        <w:rPr>
          <w:sz w:val="24"/>
          <w:szCs w:val="24"/>
        </w:rPr>
        <w:t xml:space="preserve">.  Further, the evidence presented at the hearing regarding the </w:t>
      </w:r>
      <w:r>
        <w:rPr>
          <w:sz w:val="24"/>
        </w:rPr>
        <w:t>Petitioner’s character and subsequent employment history was sufficient to establish mitigation,</w:t>
      </w:r>
      <w:r w:rsidRPr="007A55A0">
        <w:rPr>
          <w:rStyle w:val="FootnoteReference"/>
          <w:sz w:val="24"/>
          <w:vertAlign w:val="superscript"/>
        </w:rPr>
        <w:footnoteReference w:id="3"/>
      </w:r>
      <w:r>
        <w:rPr>
          <w:sz w:val="24"/>
        </w:rPr>
        <w:t xml:space="preserve"> as the Petitioner has</w:t>
      </w:r>
      <w:r w:rsidRPr="00A450AF">
        <w:rPr>
          <w:sz w:val="24"/>
        </w:rPr>
        <w:t xml:space="preserve"> </w:t>
      </w:r>
      <w:r>
        <w:rPr>
          <w:sz w:val="24"/>
        </w:rPr>
        <w:t xml:space="preserve">no propensity for cruel behavior or behavior involving moral turpitude.  </w:t>
      </w:r>
      <w:proofErr w:type="gramStart"/>
      <w:r>
        <w:rPr>
          <w:sz w:val="24"/>
          <w:u w:val="single"/>
        </w:rPr>
        <w:t>See</w:t>
      </w:r>
      <w:r>
        <w:rPr>
          <w:sz w:val="24"/>
        </w:rPr>
        <w:t xml:space="preserve">  </w:t>
      </w:r>
      <w:r>
        <w:rPr>
          <w:sz w:val="24"/>
          <w:szCs w:val="24"/>
        </w:rPr>
        <w:t>O.C.G.A</w:t>
      </w:r>
      <w:proofErr w:type="gramEnd"/>
      <w:r>
        <w:rPr>
          <w:sz w:val="24"/>
          <w:szCs w:val="24"/>
        </w:rPr>
        <w:t xml:space="preserve">. § 49-5-73.  </w:t>
      </w:r>
      <w:r>
        <w:rPr>
          <w:sz w:val="24"/>
        </w:rPr>
        <w:t xml:space="preserve">The Petitioner is therefore eligible for employment at a child-placing agency.  </w:t>
      </w:r>
    </w:p>
    <w:p w:rsidR="009B16CF" w:rsidRDefault="009B16CF" w:rsidP="009B16CF">
      <w:pPr>
        <w:pStyle w:val="BodyText"/>
        <w:rPr>
          <w:sz w:val="24"/>
          <w:szCs w:val="24"/>
        </w:rPr>
      </w:pPr>
    </w:p>
    <w:p w:rsidR="009B16CF" w:rsidRPr="00361B48" w:rsidRDefault="009B16CF" w:rsidP="009B16CF">
      <w:pPr>
        <w:ind w:left="144"/>
        <w:jc w:val="center"/>
        <w:rPr>
          <w:sz w:val="24"/>
        </w:rPr>
      </w:pPr>
      <w:r w:rsidRPr="00361B48">
        <w:rPr>
          <w:b/>
          <w:sz w:val="24"/>
        </w:rPr>
        <w:t>IV</w:t>
      </w:r>
      <w:proofErr w:type="gramStart"/>
      <w:r w:rsidRPr="00361B48">
        <w:rPr>
          <w:b/>
          <w:sz w:val="24"/>
        </w:rPr>
        <w:t>.  Decision</w:t>
      </w:r>
      <w:proofErr w:type="gramEnd"/>
    </w:p>
    <w:p w:rsidR="009B16CF" w:rsidRPr="00361B48" w:rsidRDefault="009B16CF" w:rsidP="009B16CF">
      <w:pPr>
        <w:jc w:val="both"/>
        <w:rPr>
          <w:sz w:val="24"/>
        </w:rPr>
      </w:pPr>
    </w:p>
    <w:p w:rsidR="009B16CF" w:rsidRPr="008E4596" w:rsidRDefault="009B16CF" w:rsidP="009B16CF">
      <w:pPr>
        <w:jc w:val="both"/>
        <w:rPr>
          <w:sz w:val="24"/>
        </w:rPr>
      </w:pPr>
      <w:r>
        <w:rPr>
          <w:sz w:val="24"/>
        </w:rPr>
        <w:t xml:space="preserve">In accordance with the foregoing Findings of Fact and Conclusions of Law, the </w:t>
      </w:r>
      <w:r w:rsidRPr="008E4596">
        <w:rPr>
          <w:sz w:val="24"/>
        </w:rPr>
        <w:t xml:space="preserve">Petitioner’s </w:t>
      </w:r>
      <w:r>
        <w:rPr>
          <w:sz w:val="24"/>
        </w:rPr>
        <w:t>motion</w:t>
      </w:r>
      <w:r w:rsidRPr="008E4596">
        <w:rPr>
          <w:sz w:val="24"/>
        </w:rPr>
        <w:t xml:space="preserve"> </w:t>
      </w:r>
      <w:r>
        <w:rPr>
          <w:sz w:val="24"/>
        </w:rPr>
        <w:t>for authorization</w:t>
      </w:r>
      <w:r w:rsidRPr="008E4596">
        <w:rPr>
          <w:sz w:val="24"/>
        </w:rPr>
        <w:t xml:space="preserve"> to </w:t>
      </w:r>
      <w:r>
        <w:rPr>
          <w:sz w:val="24"/>
        </w:rPr>
        <w:t xml:space="preserve">be employed by a child-placing agency, despite his criminal record, </w:t>
      </w:r>
      <w:r w:rsidRPr="008E4596">
        <w:rPr>
          <w:sz w:val="24"/>
        </w:rPr>
        <w:t xml:space="preserve">is </w:t>
      </w:r>
      <w:r w:rsidRPr="008E4596">
        <w:rPr>
          <w:b/>
          <w:bCs/>
          <w:sz w:val="24"/>
        </w:rPr>
        <w:t>GRANTED</w:t>
      </w:r>
      <w:r w:rsidRPr="008E4596">
        <w:rPr>
          <w:sz w:val="24"/>
        </w:rPr>
        <w:t xml:space="preserve">.  </w:t>
      </w:r>
      <w:r>
        <w:rPr>
          <w:sz w:val="24"/>
        </w:rPr>
        <w:t xml:space="preserve">The </w:t>
      </w:r>
      <w:r w:rsidRPr="008E4596">
        <w:rPr>
          <w:sz w:val="24"/>
        </w:rPr>
        <w:t>Respondent’s action p</w:t>
      </w:r>
      <w:r>
        <w:rPr>
          <w:sz w:val="24"/>
        </w:rPr>
        <w:t xml:space="preserve">recluding the Petitioner’s employment by a child-placing agency is hereby </w:t>
      </w:r>
      <w:r w:rsidRPr="008E4596">
        <w:rPr>
          <w:b/>
          <w:bCs/>
          <w:sz w:val="24"/>
        </w:rPr>
        <w:t>REVERSED</w:t>
      </w:r>
      <w:r w:rsidRPr="008E4596">
        <w:rPr>
          <w:sz w:val="24"/>
        </w:rPr>
        <w:t>.</w:t>
      </w:r>
    </w:p>
    <w:p w:rsidR="009B16CF" w:rsidRPr="00361B48" w:rsidRDefault="009B16CF" w:rsidP="009B16CF">
      <w:pPr>
        <w:jc w:val="both"/>
        <w:rPr>
          <w:sz w:val="24"/>
        </w:rPr>
      </w:pPr>
    </w:p>
    <w:p w:rsidR="009B16CF" w:rsidRDefault="009B16CF" w:rsidP="009B16CF">
      <w:pPr>
        <w:tabs>
          <w:tab w:val="left" w:pos="43"/>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b/>
          <w:sz w:val="24"/>
        </w:rPr>
      </w:pPr>
      <w:proofErr w:type="gramStart"/>
      <w:r w:rsidRPr="005C2386">
        <w:rPr>
          <w:b/>
          <w:sz w:val="24"/>
        </w:rPr>
        <w:t xml:space="preserve">SO ORDERED, this ____ day of </w:t>
      </w:r>
      <w:r>
        <w:rPr>
          <w:b/>
          <w:sz w:val="24"/>
        </w:rPr>
        <w:t>February, 2014</w:t>
      </w:r>
      <w:r w:rsidRPr="005C2386">
        <w:rPr>
          <w:b/>
          <w:sz w:val="24"/>
        </w:rPr>
        <w:t>.</w:t>
      </w:r>
      <w:proofErr w:type="gramEnd"/>
    </w:p>
    <w:p w:rsidR="009B16CF" w:rsidRDefault="009B16CF" w:rsidP="009B16CF">
      <w:pPr>
        <w:tabs>
          <w:tab w:val="left" w:pos="43"/>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b/>
          <w:sz w:val="24"/>
        </w:rPr>
      </w:pPr>
    </w:p>
    <w:p w:rsidR="009B16CF" w:rsidRPr="00361B48" w:rsidRDefault="009B16CF" w:rsidP="009B16CF">
      <w:pPr>
        <w:tabs>
          <w:tab w:val="left" w:pos="43"/>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jc w:val="both"/>
        <w:rPr>
          <w:sz w:val="24"/>
        </w:rPr>
      </w:pPr>
    </w:p>
    <w:p w:rsidR="009B16CF" w:rsidRPr="00361B48" w:rsidRDefault="009B16CF" w:rsidP="009B16CF">
      <w:pPr>
        <w:ind w:left="5040" w:firstLine="720"/>
        <w:rPr>
          <w:sz w:val="24"/>
        </w:rPr>
      </w:pPr>
      <w:r>
        <w:rPr>
          <w:sz w:val="24"/>
        </w:rPr>
        <w:t>______________________________</w:t>
      </w:r>
    </w:p>
    <w:p w:rsidR="009B16CF" w:rsidRPr="00361B48" w:rsidRDefault="009B16CF" w:rsidP="009B16CF">
      <w:pPr>
        <w:ind w:left="5040" w:firstLine="720"/>
        <w:rPr>
          <w:sz w:val="24"/>
        </w:rPr>
      </w:pPr>
      <w:r w:rsidRPr="00361B48">
        <w:rPr>
          <w:b/>
          <w:sz w:val="24"/>
        </w:rPr>
        <w:t xml:space="preserve">KRISTIN L. MILLER </w:t>
      </w:r>
    </w:p>
    <w:p w:rsidR="009B16CF" w:rsidRPr="00361B48" w:rsidRDefault="009B16CF" w:rsidP="009B16CF">
      <w:pPr>
        <w:ind w:left="5040" w:firstLine="720"/>
        <w:rPr>
          <w:b/>
          <w:sz w:val="24"/>
        </w:rPr>
      </w:pPr>
      <w:r w:rsidRPr="00361B48">
        <w:rPr>
          <w:b/>
          <w:sz w:val="24"/>
        </w:rPr>
        <w:t>Administrative Law Judge</w:t>
      </w:r>
    </w:p>
    <w:sectPr w:rsidR="009B16CF" w:rsidRPr="00361B48" w:rsidSect="00E22C23">
      <w:footerReference w:type="default" r:id="rId8"/>
      <w:endnotePr>
        <w:numFmt w:val="decimal"/>
      </w:endnotePr>
      <w:type w:val="continuous"/>
      <w:pgSz w:w="12240" w:h="15840" w:code="1"/>
      <w:pgMar w:top="1440" w:right="1440" w:bottom="1440" w:left="1440" w:header="749" w:footer="7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7F" w:rsidRDefault="00A3417F">
      <w:r>
        <w:separator/>
      </w:r>
    </w:p>
  </w:endnote>
  <w:endnote w:type="continuationSeparator" w:id="0">
    <w:p w:rsidR="00A3417F" w:rsidRDefault="00A3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CF" w:rsidRDefault="009B16CF" w:rsidP="009B16CF">
    <w:pPr>
      <w:pStyle w:val="Footer"/>
      <w:tabs>
        <w:tab w:val="clear" w:pos="8640"/>
        <w:tab w:val="right" w:pos="9360"/>
      </w:tabs>
      <w:jc w:val="center"/>
      <w:rPr>
        <w:sz w:val="16"/>
        <w:szCs w:val="16"/>
      </w:rPr>
    </w:pPr>
  </w:p>
  <w:p w:rsidR="009B16CF" w:rsidRPr="00F56B43" w:rsidRDefault="009B16CF" w:rsidP="009B16CF">
    <w:pPr>
      <w:pStyle w:val="Footer"/>
      <w:tabs>
        <w:tab w:val="clear" w:pos="8640"/>
        <w:tab w:val="right" w:pos="9360"/>
      </w:tabs>
      <w:jc w:val="center"/>
      <w:rPr>
        <w:sz w:val="16"/>
        <w:szCs w:val="16"/>
      </w:rPr>
    </w:pPr>
    <w:r w:rsidRPr="00F56B43">
      <w:rPr>
        <w:sz w:val="16"/>
        <w:szCs w:val="16"/>
      </w:rPr>
      <w:t xml:space="preserve">Page </w:t>
    </w:r>
    <w:r w:rsidRPr="00F56B43">
      <w:rPr>
        <w:sz w:val="16"/>
        <w:szCs w:val="16"/>
      </w:rPr>
      <w:fldChar w:fldCharType="begin"/>
    </w:r>
    <w:r w:rsidRPr="00F56B43">
      <w:rPr>
        <w:sz w:val="16"/>
        <w:szCs w:val="16"/>
      </w:rPr>
      <w:instrText xml:space="preserve"> PAGE </w:instrText>
    </w:r>
    <w:r w:rsidRPr="00F56B43">
      <w:rPr>
        <w:sz w:val="16"/>
        <w:szCs w:val="16"/>
      </w:rPr>
      <w:fldChar w:fldCharType="separate"/>
    </w:r>
    <w:r w:rsidR="00936141">
      <w:rPr>
        <w:noProof/>
        <w:sz w:val="16"/>
        <w:szCs w:val="16"/>
      </w:rPr>
      <w:t>4</w:t>
    </w:r>
    <w:r w:rsidRPr="00F56B43">
      <w:rPr>
        <w:sz w:val="16"/>
        <w:szCs w:val="16"/>
      </w:rPr>
      <w:fldChar w:fldCharType="end"/>
    </w:r>
    <w:r w:rsidRPr="00F56B43">
      <w:rPr>
        <w:sz w:val="16"/>
        <w:szCs w:val="16"/>
      </w:rPr>
      <w:t xml:space="preserve"> of </w:t>
    </w:r>
    <w:r w:rsidRPr="00F56B43">
      <w:rPr>
        <w:sz w:val="16"/>
        <w:szCs w:val="16"/>
      </w:rPr>
      <w:fldChar w:fldCharType="begin"/>
    </w:r>
    <w:r w:rsidRPr="00F56B43">
      <w:rPr>
        <w:sz w:val="16"/>
        <w:szCs w:val="16"/>
      </w:rPr>
      <w:instrText xml:space="preserve"> NUMPAGES </w:instrText>
    </w:r>
    <w:r w:rsidRPr="00F56B43">
      <w:rPr>
        <w:sz w:val="16"/>
        <w:szCs w:val="16"/>
      </w:rPr>
      <w:fldChar w:fldCharType="separate"/>
    </w:r>
    <w:r w:rsidR="00936141">
      <w:rPr>
        <w:noProof/>
        <w:sz w:val="16"/>
        <w:szCs w:val="16"/>
      </w:rPr>
      <w:t>4</w:t>
    </w:r>
    <w:r w:rsidRPr="00F56B4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7F" w:rsidRDefault="00A3417F">
      <w:r>
        <w:separator/>
      </w:r>
    </w:p>
  </w:footnote>
  <w:footnote w:type="continuationSeparator" w:id="0">
    <w:p w:rsidR="00A3417F" w:rsidRDefault="00A3417F">
      <w:r>
        <w:continuationSeparator/>
      </w:r>
    </w:p>
  </w:footnote>
  <w:footnote w:id="1">
    <w:p w:rsidR="009B16CF" w:rsidRDefault="009B16CF">
      <w:pPr>
        <w:pStyle w:val="FootnoteText"/>
      </w:pPr>
      <w:r w:rsidRPr="00EA6966">
        <w:rPr>
          <w:rStyle w:val="FootnoteReference"/>
          <w:vertAlign w:val="superscript"/>
        </w:rPr>
        <w:footnoteRef/>
      </w:r>
      <w:r>
        <w:t xml:space="preserve"> The case style has been changed to reflect the correct spelling of the Petitioner’s name.</w:t>
      </w:r>
    </w:p>
  </w:footnote>
  <w:footnote w:id="2">
    <w:p w:rsidR="009B16CF" w:rsidRPr="00E26FC0" w:rsidRDefault="009B16CF" w:rsidP="009B16CF">
      <w:pPr>
        <w:pStyle w:val="FootnoteText"/>
        <w:jc w:val="both"/>
      </w:pPr>
      <w:r w:rsidRPr="00E26FC0">
        <w:rPr>
          <w:rStyle w:val="FootnoteReference"/>
          <w:vertAlign w:val="superscript"/>
        </w:rPr>
        <w:footnoteRef/>
      </w:r>
      <w:r w:rsidRPr="00E26FC0">
        <w:rPr>
          <w:vertAlign w:val="superscript"/>
        </w:rPr>
        <w:t xml:space="preserve"> </w:t>
      </w:r>
      <w:r>
        <w:t xml:space="preserve">Under O.C.G.A. § 49-5-60(3), “‘Crime’ means </w:t>
      </w:r>
      <w:r w:rsidRPr="00BF2970">
        <w:t xml:space="preserve">any felony; a violation of Code Section 16-5-23 when the victim is a minor; a violation of Code Section 16-12-1; a violation of Chapter 6 of Title 16, excluding the offenses of bigamy or marrying a bigamist; a violation of Code Section 16-4-1 when the crime attempted is any of the crimes specified by this </w:t>
      </w:r>
      <w:r>
        <w:t xml:space="preserve"> </w:t>
      </w:r>
      <w:r w:rsidRPr="00BF2970">
        <w:t xml:space="preserve">paragraph; or any other offenses committed in another jurisdiction which, if committed in this state, would be one of the enumerated </w:t>
      </w:r>
      <w:r>
        <w:t>crimes listed in this paragraph</w:t>
      </w:r>
      <w:r w:rsidRPr="00E26FC0">
        <w:t>.</w:t>
      </w:r>
      <w:r>
        <w:t>”</w:t>
      </w:r>
    </w:p>
  </w:footnote>
  <w:footnote w:id="3">
    <w:p w:rsidR="009B16CF" w:rsidRDefault="009B16CF" w:rsidP="009B16CF">
      <w:pPr>
        <w:pStyle w:val="FootnoteText"/>
      </w:pPr>
      <w:r w:rsidRPr="007A55A0">
        <w:rPr>
          <w:rStyle w:val="FootnoteReference"/>
          <w:vertAlign w:val="superscript"/>
        </w:rPr>
        <w:footnoteRef/>
      </w:r>
      <w:r>
        <w:t xml:space="preserve"> At the hearing, the Respondent did not object to mitigation.  </w:t>
      </w:r>
    </w:p>
    <w:p w:rsidR="009B16CF" w:rsidRDefault="009B16CF" w:rsidP="009B16C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95"/>
    <w:multiLevelType w:val="hybridMultilevel"/>
    <w:tmpl w:val="10DABFD8"/>
    <w:lvl w:ilvl="0" w:tplc="0FD0DF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00808"/>
    <w:multiLevelType w:val="hybridMultilevel"/>
    <w:tmpl w:val="ECBCA1EA"/>
    <w:lvl w:ilvl="0" w:tplc="C7548C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025FEC"/>
    <w:multiLevelType w:val="hybridMultilevel"/>
    <w:tmpl w:val="EFC86C34"/>
    <w:lvl w:ilvl="0" w:tplc="ADCCEF78">
      <w:numFmt w:val="bullet"/>
      <w:lvlText w:val=""/>
      <w:lvlJc w:val="left"/>
      <w:pPr>
        <w:tabs>
          <w:tab w:val="num" w:pos="1080"/>
        </w:tabs>
        <w:ind w:left="1080" w:hanging="360"/>
      </w:pPr>
      <w:rPr>
        <w:rFonts w:ascii="WP TypographicSymbols" w:eastAsia="Times New Roman" w:hAnsi="WP TypographicSymbols" w:cs="Times New Roman" w:hint="default"/>
      </w:rPr>
    </w:lvl>
    <w:lvl w:ilvl="1" w:tplc="8E70E8B8" w:tentative="1">
      <w:start w:val="1"/>
      <w:numFmt w:val="bullet"/>
      <w:lvlText w:val="o"/>
      <w:lvlJc w:val="left"/>
      <w:pPr>
        <w:tabs>
          <w:tab w:val="num" w:pos="1800"/>
        </w:tabs>
        <w:ind w:left="1800" w:hanging="360"/>
      </w:pPr>
      <w:rPr>
        <w:rFonts w:ascii="Courier New" w:hAnsi="Courier New" w:hint="default"/>
      </w:rPr>
    </w:lvl>
    <w:lvl w:ilvl="2" w:tplc="937C702E" w:tentative="1">
      <w:start w:val="1"/>
      <w:numFmt w:val="bullet"/>
      <w:lvlText w:val=""/>
      <w:lvlJc w:val="left"/>
      <w:pPr>
        <w:tabs>
          <w:tab w:val="num" w:pos="2520"/>
        </w:tabs>
        <w:ind w:left="2520" w:hanging="360"/>
      </w:pPr>
      <w:rPr>
        <w:rFonts w:ascii="Wingdings" w:hAnsi="Wingdings" w:hint="default"/>
      </w:rPr>
    </w:lvl>
    <w:lvl w:ilvl="3" w:tplc="FF7CCFF6" w:tentative="1">
      <w:start w:val="1"/>
      <w:numFmt w:val="bullet"/>
      <w:lvlText w:val=""/>
      <w:lvlJc w:val="left"/>
      <w:pPr>
        <w:tabs>
          <w:tab w:val="num" w:pos="3240"/>
        </w:tabs>
        <w:ind w:left="3240" w:hanging="360"/>
      </w:pPr>
      <w:rPr>
        <w:rFonts w:ascii="Symbol" w:hAnsi="Symbol" w:hint="default"/>
      </w:rPr>
    </w:lvl>
    <w:lvl w:ilvl="4" w:tplc="C3483E5E" w:tentative="1">
      <w:start w:val="1"/>
      <w:numFmt w:val="bullet"/>
      <w:lvlText w:val="o"/>
      <w:lvlJc w:val="left"/>
      <w:pPr>
        <w:tabs>
          <w:tab w:val="num" w:pos="3960"/>
        </w:tabs>
        <w:ind w:left="3960" w:hanging="360"/>
      </w:pPr>
      <w:rPr>
        <w:rFonts w:ascii="Courier New" w:hAnsi="Courier New" w:hint="default"/>
      </w:rPr>
    </w:lvl>
    <w:lvl w:ilvl="5" w:tplc="E8A821DA" w:tentative="1">
      <w:start w:val="1"/>
      <w:numFmt w:val="bullet"/>
      <w:lvlText w:val=""/>
      <w:lvlJc w:val="left"/>
      <w:pPr>
        <w:tabs>
          <w:tab w:val="num" w:pos="4680"/>
        </w:tabs>
        <w:ind w:left="4680" w:hanging="360"/>
      </w:pPr>
      <w:rPr>
        <w:rFonts w:ascii="Wingdings" w:hAnsi="Wingdings" w:hint="default"/>
      </w:rPr>
    </w:lvl>
    <w:lvl w:ilvl="6" w:tplc="2DE62AE4" w:tentative="1">
      <w:start w:val="1"/>
      <w:numFmt w:val="bullet"/>
      <w:lvlText w:val=""/>
      <w:lvlJc w:val="left"/>
      <w:pPr>
        <w:tabs>
          <w:tab w:val="num" w:pos="5400"/>
        </w:tabs>
        <w:ind w:left="5400" w:hanging="360"/>
      </w:pPr>
      <w:rPr>
        <w:rFonts w:ascii="Symbol" w:hAnsi="Symbol" w:hint="default"/>
      </w:rPr>
    </w:lvl>
    <w:lvl w:ilvl="7" w:tplc="D35E3E94" w:tentative="1">
      <w:start w:val="1"/>
      <w:numFmt w:val="bullet"/>
      <w:lvlText w:val="o"/>
      <w:lvlJc w:val="left"/>
      <w:pPr>
        <w:tabs>
          <w:tab w:val="num" w:pos="6120"/>
        </w:tabs>
        <w:ind w:left="6120" w:hanging="360"/>
      </w:pPr>
      <w:rPr>
        <w:rFonts w:ascii="Courier New" w:hAnsi="Courier New" w:hint="default"/>
      </w:rPr>
    </w:lvl>
    <w:lvl w:ilvl="8" w:tplc="1006F29E" w:tentative="1">
      <w:start w:val="1"/>
      <w:numFmt w:val="bullet"/>
      <w:lvlText w:val=""/>
      <w:lvlJc w:val="left"/>
      <w:pPr>
        <w:tabs>
          <w:tab w:val="num" w:pos="6840"/>
        </w:tabs>
        <w:ind w:left="6840" w:hanging="360"/>
      </w:pPr>
      <w:rPr>
        <w:rFonts w:ascii="Wingdings" w:hAnsi="Wingdings" w:hint="default"/>
      </w:rPr>
    </w:lvl>
  </w:abstractNum>
  <w:abstractNum w:abstractNumId="3">
    <w:nsid w:val="43765574"/>
    <w:multiLevelType w:val="hybridMultilevel"/>
    <w:tmpl w:val="5994E250"/>
    <w:lvl w:ilvl="0" w:tplc="44C6B2A2">
      <w:start w:val="2"/>
      <w:numFmt w:val="bullet"/>
      <w:lvlText w:val=""/>
      <w:lvlJc w:val="left"/>
      <w:pPr>
        <w:tabs>
          <w:tab w:val="num" w:pos="720"/>
        </w:tabs>
        <w:ind w:left="720" w:hanging="360"/>
      </w:pPr>
      <w:rPr>
        <w:rFonts w:ascii="WP TypographicSymbols" w:eastAsia="Times New Roman" w:hAnsi="WP TypographicSymbols" w:cs="Wingdings" w:hint="default"/>
      </w:rPr>
    </w:lvl>
    <w:lvl w:ilvl="1" w:tplc="99F2416E" w:tentative="1">
      <w:start w:val="1"/>
      <w:numFmt w:val="bullet"/>
      <w:lvlText w:val="o"/>
      <w:lvlJc w:val="left"/>
      <w:pPr>
        <w:tabs>
          <w:tab w:val="num" w:pos="1440"/>
        </w:tabs>
        <w:ind w:left="1440" w:hanging="360"/>
      </w:pPr>
      <w:rPr>
        <w:rFonts w:ascii="Courier New" w:hAnsi="Courier New" w:hint="default"/>
      </w:rPr>
    </w:lvl>
    <w:lvl w:ilvl="2" w:tplc="8320D976" w:tentative="1">
      <w:start w:val="1"/>
      <w:numFmt w:val="bullet"/>
      <w:lvlText w:val=""/>
      <w:lvlJc w:val="left"/>
      <w:pPr>
        <w:tabs>
          <w:tab w:val="num" w:pos="2160"/>
        </w:tabs>
        <w:ind w:left="2160" w:hanging="360"/>
      </w:pPr>
      <w:rPr>
        <w:rFonts w:ascii="Wingdings" w:hAnsi="Wingdings" w:hint="default"/>
      </w:rPr>
    </w:lvl>
    <w:lvl w:ilvl="3" w:tplc="069841B6" w:tentative="1">
      <w:start w:val="1"/>
      <w:numFmt w:val="bullet"/>
      <w:lvlText w:val=""/>
      <w:lvlJc w:val="left"/>
      <w:pPr>
        <w:tabs>
          <w:tab w:val="num" w:pos="2880"/>
        </w:tabs>
        <w:ind w:left="2880" w:hanging="360"/>
      </w:pPr>
      <w:rPr>
        <w:rFonts w:ascii="Symbol" w:hAnsi="Symbol" w:hint="default"/>
      </w:rPr>
    </w:lvl>
    <w:lvl w:ilvl="4" w:tplc="7322465E" w:tentative="1">
      <w:start w:val="1"/>
      <w:numFmt w:val="bullet"/>
      <w:lvlText w:val="o"/>
      <w:lvlJc w:val="left"/>
      <w:pPr>
        <w:tabs>
          <w:tab w:val="num" w:pos="3600"/>
        </w:tabs>
        <w:ind w:left="3600" w:hanging="360"/>
      </w:pPr>
      <w:rPr>
        <w:rFonts w:ascii="Courier New" w:hAnsi="Courier New" w:hint="default"/>
      </w:rPr>
    </w:lvl>
    <w:lvl w:ilvl="5" w:tplc="E064FF9A" w:tentative="1">
      <w:start w:val="1"/>
      <w:numFmt w:val="bullet"/>
      <w:lvlText w:val=""/>
      <w:lvlJc w:val="left"/>
      <w:pPr>
        <w:tabs>
          <w:tab w:val="num" w:pos="4320"/>
        </w:tabs>
        <w:ind w:left="4320" w:hanging="360"/>
      </w:pPr>
      <w:rPr>
        <w:rFonts w:ascii="Wingdings" w:hAnsi="Wingdings" w:hint="default"/>
      </w:rPr>
    </w:lvl>
    <w:lvl w:ilvl="6" w:tplc="41442CD4" w:tentative="1">
      <w:start w:val="1"/>
      <w:numFmt w:val="bullet"/>
      <w:lvlText w:val=""/>
      <w:lvlJc w:val="left"/>
      <w:pPr>
        <w:tabs>
          <w:tab w:val="num" w:pos="5040"/>
        </w:tabs>
        <w:ind w:left="5040" w:hanging="360"/>
      </w:pPr>
      <w:rPr>
        <w:rFonts w:ascii="Symbol" w:hAnsi="Symbol" w:hint="default"/>
      </w:rPr>
    </w:lvl>
    <w:lvl w:ilvl="7" w:tplc="1A78AC9A" w:tentative="1">
      <w:start w:val="1"/>
      <w:numFmt w:val="bullet"/>
      <w:lvlText w:val="o"/>
      <w:lvlJc w:val="left"/>
      <w:pPr>
        <w:tabs>
          <w:tab w:val="num" w:pos="5760"/>
        </w:tabs>
        <w:ind w:left="5760" w:hanging="360"/>
      </w:pPr>
      <w:rPr>
        <w:rFonts w:ascii="Courier New" w:hAnsi="Courier New" w:hint="default"/>
      </w:rPr>
    </w:lvl>
    <w:lvl w:ilvl="8" w:tplc="321CCF6E" w:tentative="1">
      <w:start w:val="1"/>
      <w:numFmt w:val="bullet"/>
      <w:lvlText w:val=""/>
      <w:lvlJc w:val="left"/>
      <w:pPr>
        <w:tabs>
          <w:tab w:val="num" w:pos="6480"/>
        </w:tabs>
        <w:ind w:left="6480" w:hanging="360"/>
      </w:pPr>
      <w:rPr>
        <w:rFonts w:ascii="Wingdings" w:hAnsi="Wingdings" w:hint="default"/>
      </w:rPr>
    </w:lvl>
  </w:abstractNum>
  <w:abstractNum w:abstractNumId="4">
    <w:nsid w:val="4C906C22"/>
    <w:multiLevelType w:val="hybridMultilevel"/>
    <w:tmpl w:val="F1CCC4BC"/>
    <w:lvl w:ilvl="0" w:tplc="38963836">
      <w:start w:val="2"/>
      <w:numFmt w:val="bullet"/>
      <w:lvlText w:val=""/>
      <w:lvlJc w:val="left"/>
      <w:pPr>
        <w:tabs>
          <w:tab w:val="num" w:pos="720"/>
        </w:tabs>
        <w:ind w:left="720" w:hanging="360"/>
      </w:pPr>
      <w:rPr>
        <w:rFonts w:ascii="WP TypographicSymbols" w:eastAsia="Times New Roman" w:hAnsi="WP TypographicSymbols" w:cs="Times New Roman" w:hint="default"/>
      </w:rPr>
    </w:lvl>
    <w:lvl w:ilvl="1" w:tplc="DB54A5AC" w:tentative="1">
      <w:start w:val="1"/>
      <w:numFmt w:val="bullet"/>
      <w:lvlText w:val="o"/>
      <w:lvlJc w:val="left"/>
      <w:pPr>
        <w:tabs>
          <w:tab w:val="num" w:pos="1440"/>
        </w:tabs>
        <w:ind w:left="1440" w:hanging="360"/>
      </w:pPr>
      <w:rPr>
        <w:rFonts w:ascii="Courier New" w:hAnsi="Courier New" w:hint="default"/>
      </w:rPr>
    </w:lvl>
    <w:lvl w:ilvl="2" w:tplc="50B4865C" w:tentative="1">
      <w:start w:val="1"/>
      <w:numFmt w:val="bullet"/>
      <w:lvlText w:val=""/>
      <w:lvlJc w:val="left"/>
      <w:pPr>
        <w:tabs>
          <w:tab w:val="num" w:pos="2160"/>
        </w:tabs>
        <w:ind w:left="2160" w:hanging="360"/>
      </w:pPr>
      <w:rPr>
        <w:rFonts w:ascii="Wingdings" w:hAnsi="Wingdings" w:hint="default"/>
      </w:rPr>
    </w:lvl>
    <w:lvl w:ilvl="3" w:tplc="FF4CBAE2" w:tentative="1">
      <w:start w:val="1"/>
      <w:numFmt w:val="bullet"/>
      <w:lvlText w:val=""/>
      <w:lvlJc w:val="left"/>
      <w:pPr>
        <w:tabs>
          <w:tab w:val="num" w:pos="2880"/>
        </w:tabs>
        <w:ind w:left="2880" w:hanging="360"/>
      </w:pPr>
      <w:rPr>
        <w:rFonts w:ascii="Symbol" w:hAnsi="Symbol" w:hint="default"/>
      </w:rPr>
    </w:lvl>
    <w:lvl w:ilvl="4" w:tplc="08841BE6" w:tentative="1">
      <w:start w:val="1"/>
      <w:numFmt w:val="bullet"/>
      <w:lvlText w:val="o"/>
      <w:lvlJc w:val="left"/>
      <w:pPr>
        <w:tabs>
          <w:tab w:val="num" w:pos="3600"/>
        </w:tabs>
        <w:ind w:left="3600" w:hanging="360"/>
      </w:pPr>
      <w:rPr>
        <w:rFonts w:ascii="Courier New" w:hAnsi="Courier New" w:hint="default"/>
      </w:rPr>
    </w:lvl>
    <w:lvl w:ilvl="5" w:tplc="B462CA28" w:tentative="1">
      <w:start w:val="1"/>
      <w:numFmt w:val="bullet"/>
      <w:lvlText w:val=""/>
      <w:lvlJc w:val="left"/>
      <w:pPr>
        <w:tabs>
          <w:tab w:val="num" w:pos="4320"/>
        </w:tabs>
        <w:ind w:left="4320" w:hanging="360"/>
      </w:pPr>
      <w:rPr>
        <w:rFonts w:ascii="Wingdings" w:hAnsi="Wingdings" w:hint="default"/>
      </w:rPr>
    </w:lvl>
    <w:lvl w:ilvl="6" w:tplc="F294B5C6" w:tentative="1">
      <w:start w:val="1"/>
      <w:numFmt w:val="bullet"/>
      <w:lvlText w:val=""/>
      <w:lvlJc w:val="left"/>
      <w:pPr>
        <w:tabs>
          <w:tab w:val="num" w:pos="5040"/>
        </w:tabs>
        <w:ind w:left="5040" w:hanging="360"/>
      </w:pPr>
      <w:rPr>
        <w:rFonts w:ascii="Symbol" w:hAnsi="Symbol" w:hint="default"/>
      </w:rPr>
    </w:lvl>
    <w:lvl w:ilvl="7" w:tplc="DF5E93BE" w:tentative="1">
      <w:start w:val="1"/>
      <w:numFmt w:val="bullet"/>
      <w:lvlText w:val="o"/>
      <w:lvlJc w:val="left"/>
      <w:pPr>
        <w:tabs>
          <w:tab w:val="num" w:pos="5760"/>
        </w:tabs>
        <w:ind w:left="5760" w:hanging="360"/>
      </w:pPr>
      <w:rPr>
        <w:rFonts w:ascii="Courier New" w:hAnsi="Courier New" w:hint="default"/>
      </w:rPr>
    </w:lvl>
    <w:lvl w:ilvl="8" w:tplc="4C9C6956" w:tentative="1">
      <w:start w:val="1"/>
      <w:numFmt w:val="bullet"/>
      <w:lvlText w:val=""/>
      <w:lvlJc w:val="left"/>
      <w:pPr>
        <w:tabs>
          <w:tab w:val="num" w:pos="6480"/>
        </w:tabs>
        <w:ind w:left="6480" w:hanging="360"/>
      </w:pPr>
      <w:rPr>
        <w:rFonts w:ascii="Wingdings" w:hAnsi="Wingdings" w:hint="default"/>
      </w:rPr>
    </w:lvl>
  </w:abstractNum>
  <w:abstractNum w:abstractNumId="5">
    <w:nsid w:val="58B26058"/>
    <w:multiLevelType w:val="hybridMultilevel"/>
    <w:tmpl w:val="F79E229A"/>
    <w:lvl w:ilvl="0" w:tplc="C6A40B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907D77"/>
    <w:multiLevelType w:val="hybridMultilevel"/>
    <w:tmpl w:val="4DC6FF66"/>
    <w:lvl w:ilvl="0" w:tplc="974E0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6B34ED"/>
    <w:multiLevelType w:val="hybridMultilevel"/>
    <w:tmpl w:val="645CA79A"/>
    <w:lvl w:ilvl="0" w:tplc="804207E6">
      <w:numFmt w:val="bullet"/>
      <w:lvlText w:val=""/>
      <w:lvlJc w:val="left"/>
      <w:pPr>
        <w:tabs>
          <w:tab w:val="num" w:pos="1080"/>
        </w:tabs>
        <w:ind w:left="1080" w:hanging="720"/>
      </w:pPr>
      <w:rPr>
        <w:rFonts w:ascii="WP TypographicSymbols" w:eastAsia="Times New Roman" w:hAnsi="WP TypographicSymbols" w:cs="Times New Roman" w:hint="default"/>
      </w:rPr>
    </w:lvl>
    <w:lvl w:ilvl="1" w:tplc="3C0E5270" w:tentative="1">
      <w:start w:val="1"/>
      <w:numFmt w:val="bullet"/>
      <w:lvlText w:val="o"/>
      <w:lvlJc w:val="left"/>
      <w:pPr>
        <w:tabs>
          <w:tab w:val="num" w:pos="1440"/>
        </w:tabs>
        <w:ind w:left="1440" w:hanging="360"/>
      </w:pPr>
      <w:rPr>
        <w:rFonts w:ascii="Courier New" w:hAnsi="Courier New" w:hint="default"/>
      </w:rPr>
    </w:lvl>
    <w:lvl w:ilvl="2" w:tplc="FD7C2282" w:tentative="1">
      <w:start w:val="1"/>
      <w:numFmt w:val="bullet"/>
      <w:lvlText w:val=""/>
      <w:lvlJc w:val="left"/>
      <w:pPr>
        <w:tabs>
          <w:tab w:val="num" w:pos="2160"/>
        </w:tabs>
        <w:ind w:left="2160" w:hanging="360"/>
      </w:pPr>
      <w:rPr>
        <w:rFonts w:ascii="Wingdings" w:hAnsi="Wingdings" w:hint="default"/>
      </w:rPr>
    </w:lvl>
    <w:lvl w:ilvl="3" w:tplc="1820FFF2" w:tentative="1">
      <w:start w:val="1"/>
      <w:numFmt w:val="bullet"/>
      <w:lvlText w:val=""/>
      <w:lvlJc w:val="left"/>
      <w:pPr>
        <w:tabs>
          <w:tab w:val="num" w:pos="2880"/>
        </w:tabs>
        <w:ind w:left="2880" w:hanging="360"/>
      </w:pPr>
      <w:rPr>
        <w:rFonts w:ascii="Symbol" w:hAnsi="Symbol" w:hint="default"/>
      </w:rPr>
    </w:lvl>
    <w:lvl w:ilvl="4" w:tplc="84CC14FE" w:tentative="1">
      <w:start w:val="1"/>
      <w:numFmt w:val="bullet"/>
      <w:lvlText w:val="o"/>
      <w:lvlJc w:val="left"/>
      <w:pPr>
        <w:tabs>
          <w:tab w:val="num" w:pos="3600"/>
        </w:tabs>
        <w:ind w:left="3600" w:hanging="360"/>
      </w:pPr>
      <w:rPr>
        <w:rFonts w:ascii="Courier New" w:hAnsi="Courier New" w:hint="default"/>
      </w:rPr>
    </w:lvl>
    <w:lvl w:ilvl="5" w:tplc="C376FE8A" w:tentative="1">
      <w:start w:val="1"/>
      <w:numFmt w:val="bullet"/>
      <w:lvlText w:val=""/>
      <w:lvlJc w:val="left"/>
      <w:pPr>
        <w:tabs>
          <w:tab w:val="num" w:pos="4320"/>
        </w:tabs>
        <w:ind w:left="4320" w:hanging="360"/>
      </w:pPr>
      <w:rPr>
        <w:rFonts w:ascii="Wingdings" w:hAnsi="Wingdings" w:hint="default"/>
      </w:rPr>
    </w:lvl>
    <w:lvl w:ilvl="6" w:tplc="A83C8E28" w:tentative="1">
      <w:start w:val="1"/>
      <w:numFmt w:val="bullet"/>
      <w:lvlText w:val=""/>
      <w:lvlJc w:val="left"/>
      <w:pPr>
        <w:tabs>
          <w:tab w:val="num" w:pos="5040"/>
        </w:tabs>
        <w:ind w:left="5040" w:hanging="360"/>
      </w:pPr>
      <w:rPr>
        <w:rFonts w:ascii="Symbol" w:hAnsi="Symbol" w:hint="default"/>
      </w:rPr>
    </w:lvl>
    <w:lvl w:ilvl="7" w:tplc="1A06E088" w:tentative="1">
      <w:start w:val="1"/>
      <w:numFmt w:val="bullet"/>
      <w:lvlText w:val="o"/>
      <w:lvlJc w:val="left"/>
      <w:pPr>
        <w:tabs>
          <w:tab w:val="num" w:pos="5760"/>
        </w:tabs>
        <w:ind w:left="5760" w:hanging="360"/>
      </w:pPr>
      <w:rPr>
        <w:rFonts w:ascii="Courier New" w:hAnsi="Courier New" w:hint="default"/>
      </w:rPr>
    </w:lvl>
    <w:lvl w:ilvl="8" w:tplc="49D6F1D2" w:tentative="1">
      <w:start w:val="1"/>
      <w:numFmt w:val="bullet"/>
      <w:lvlText w:val=""/>
      <w:lvlJc w:val="left"/>
      <w:pPr>
        <w:tabs>
          <w:tab w:val="num" w:pos="6480"/>
        </w:tabs>
        <w:ind w:left="6480" w:hanging="360"/>
      </w:pPr>
      <w:rPr>
        <w:rFonts w:ascii="Wingdings" w:hAnsi="Wingdings" w:hint="default"/>
      </w:rPr>
    </w:lvl>
  </w:abstractNum>
  <w:abstractNum w:abstractNumId="8">
    <w:nsid w:val="769515BC"/>
    <w:multiLevelType w:val="hybridMultilevel"/>
    <w:tmpl w:val="88187FD2"/>
    <w:lvl w:ilvl="0" w:tplc="89DE8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52"/>
    <w:rsid w:val="000D5252"/>
    <w:rsid w:val="00807087"/>
    <w:rsid w:val="00936141"/>
    <w:rsid w:val="009B16CF"/>
    <w:rsid w:val="00A3417F"/>
    <w:rsid w:val="00AB521E"/>
    <w:rsid w:val="00E2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Cs w:val="20"/>
    </w:rPr>
  </w:style>
  <w:style w:type="paragraph" w:styleId="BodyTextIndent">
    <w:name w:val="Body Text Indent"/>
    <w:basedOn w:val="Normal"/>
    <w:pPr>
      <w:ind w:left="720" w:hanging="360"/>
      <w:jc w:val="both"/>
    </w:pPr>
    <w:rPr>
      <w:szCs w:val="20"/>
    </w:rPr>
  </w:style>
  <w:style w:type="paragraph" w:styleId="Caption">
    <w:name w:val="caption"/>
    <w:basedOn w:val="Normal"/>
    <w:next w:val="Normal"/>
    <w:qFormat/>
    <w:pPr>
      <w:tabs>
        <w:tab w:val="center" w:pos="5400"/>
      </w:tabs>
      <w:jc w:val="center"/>
    </w:pPr>
    <w:rPr>
      <w:b/>
    </w:rPr>
  </w:style>
  <w:style w:type="paragraph" w:styleId="BodyTextIndent2">
    <w:name w:val="Body Text Indent 2"/>
    <w:basedOn w:val="Normal"/>
    <w:pPr>
      <w:tabs>
        <w:tab w:val="left" w:pos="900"/>
      </w:tabs>
      <w:ind w:left="1080"/>
      <w:jc w:val="both"/>
    </w:pPr>
  </w:style>
  <w:style w:type="paragraph" w:styleId="BalloonText">
    <w:name w:val="Balloon Text"/>
    <w:basedOn w:val="Normal"/>
    <w:semiHidden/>
    <w:rsid w:val="00361B48"/>
    <w:rPr>
      <w:rFonts w:ascii="Tahoma" w:hAnsi="Tahoma" w:cs="Tahoma"/>
      <w:sz w:val="16"/>
      <w:szCs w:val="16"/>
    </w:rPr>
  </w:style>
  <w:style w:type="paragraph" w:styleId="FootnoteText">
    <w:name w:val="footnote text"/>
    <w:basedOn w:val="Normal"/>
    <w:semiHidden/>
    <w:rsid w:val="009A3B3B"/>
    <w:rPr>
      <w:szCs w:val="20"/>
    </w:rPr>
  </w:style>
  <w:style w:type="paragraph" w:customStyle="1" w:styleId="ColorfulList-Accent11">
    <w:name w:val="Colorful List - Accent 11"/>
    <w:basedOn w:val="Normal"/>
    <w:uiPriority w:val="34"/>
    <w:qFormat/>
    <w:rsid w:val="006C73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Cs w:val="20"/>
    </w:rPr>
  </w:style>
  <w:style w:type="paragraph" w:styleId="BodyTextIndent">
    <w:name w:val="Body Text Indent"/>
    <w:basedOn w:val="Normal"/>
    <w:pPr>
      <w:ind w:left="720" w:hanging="360"/>
      <w:jc w:val="both"/>
    </w:pPr>
    <w:rPr>
      <w:szCs w:val="20"/>
    </w:rPr>
  </w:style>
  <w:style w:type="paragraph" w:styleId="Caption">
    <w:name w:val="caption"/>
    <w:basedOn w:val="Normal"/>
    <w:next w:val="Normal"/>
    <w:qFormat/>
    <w:pPr>
      <w:tabs>
        <w:tab w:val="center" w:pos="5400"/>
      </w:tabs>
      <w:jc w:val="center"/>
    </w:pPr>
    <w:rPr>
      <w:b/>
    </w:rPr>
  </w:style>
  <w:style w:type="paragraph" w:styleId="BodyTextIndent2">
    <w:name w:val="Body Text Indent 2"/>
    <w:basedOn w:val="Normal"/>
    <w:pPr>
      <w:tabs>
        <w:tab w:val="left" w:pos="900"/>
      </w:tabs>
      <w:ind w:left="1080"/>
      <w:jc w:val="both"/>
    </w:pPr>
  </w:style>
  <w:style w:type="paragraph" w:styleId="BalloonText">
    <w:name w:val="Balloon Text"/>
    <w:basedOn w:val="Normal"/>
    <w:semiHidden/>
    <w:rsid w:val="00361B48"/>
    <w:rPr>
      <w:rFonts w:ascii="Tahoma" w:hAnsi="Tahoma" w:cs="Tahoma"/>
      <w:sz w:val="16"/>
      <w:szCs w:val="16"/>
    </w:rPr>
  </w:style>
  <w:style w:type="paragraph" w:styleId="FootnoteText">
    <w:name w:val="footnote text"/>
    <w:basedOn w:val="Normal"/>
    <w:semiHidden/>
    <w:rsid w:val="009A3B3B"/>
    <w:rPr>
      <w:szCs w:val="20"/>
    </w:rPr>
  </w:style>
  <w:style w:type="paragraph" w:customStyle="1" w:styleId="ColorfulList-Accent11">
    <w:name w:val="Colorful List - Accent 11"/>
    <w:basedOn w:val="Normal"/>
    <w:uiPriority w:val="34"/>
    <w:qFormat/>
    <w:rsid w:val="006C73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 OFFICE OF STATE ADMINISTRATIVE HEARINGS</vt:lpstr>
    </vt:vector>
  </TitlesOfParts>
  <Company>Office of State Administrative Hearings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OFFICE OF STATE ADMINISTRATIVE HEARINGS</dc:title>
  <dc:creator>rwatson</dc:creator>
  <cp:lastModifiedBy>Office of State Administrative Hearings</cp:lastModifiedBy>
  <cp:revision>2</cp:revision>
  <cp:lastPrinted>2014-02-14T18:37:00Z</cp:lastPrinted>
  <dcterms:created xsi:type="dcterms:W3CDTF">2014-02-27T22:38:00Z</dcterms:created>
  <dcterms:modified xsi:type="dcterms:W3CDTF">2014-02-27T22:38:00Z</dcterms:modified>
</cp:coreProperties>
</file>